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F1" w:rsidRPr="00A65BA6" w:rsidRDefault="003A08F0" w:rsidP="002741F1">
      <w:pPr>
        <w:pStyle w:val="Domylnie"/>
        <w:jc w:val="center"/>
        <w:rPr>
          <w:b/>
          <w:sz w:val="26"/>
        </w:rPr>
      </w:pPr>
      <w:r w:rsidRPr="00C35C09">
        <w:rPr>
          <w:noProof/>
        </w:rPr>
        <w:drawing>
          <wp:inline distT="0" distB="0" distL="0" distR="0">
            <wp:extent cx="704850" cy="50482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F1">
        <w:rPr>
          <w:rStyle w:val="Nagwek1Znak"/>
          <w:rFonts w:ascii="Times New Roman" w:hAnsi="Times New Roman"/>
          <w:color w:val="auto"/>
        </w:rPr>
        <w:br/>
      </w:r>
      <w:r w:rsidR="002741F1" w:rsidRPr="00A65BA6">
        <w:rPr>
          <w:b/>
          <w:sz w:val="26"/>
        </w:rPr>
        <w:t xml:space="preserve">BANK SPÓŁDZIELCZY W MIEDŹNEJ </w:t>
      </w:r>
    </w:p>
    <w:p w:rsidR="001B7255" w:rsidRPr="00C2563E" w:rsidRDefault="001B7255" w:rsidP="002741F1">
      <w:pPr>
        <w:jc w:val="center"/>
        <w:rPr>
          <w:rStyle w:val="Nagwek1Znak"/>
          <w:rFonts w:ascii="Times New Roman" w:hAnsi="Times New Roman"/>
          <w:color w:val="auto"/>
        </w:rPr>
      </w:pPr>
    </w:p>
    <w:p w:rsidR="005040CC" w:rsidRPr="00C2563E" w:rsidRDefault="008A3624" w:rsidP="007709AE">
      <w:pPr>
        <w:jc w:val="center"/>
        <w:rPr>
          <w:rFonts w:ascii="Times New Roman" w:hAnsi="Times New Roman"/>
        </w:rPr>
      </w:pPr>
      <w:r w:rsidRPr="00C2563E">
        <w:rPr>
          <w:rStyle w:val="Nagwek1Znak"/>
          <w:rFonts w:ascii="Times New Roman" w:hAnsi="Times New Roman"/>
          <w:color w:val="auto"/>
        </w:rPr>
        <w:t xml:space="preserve">Wyciąg </w:t>
      </w:r>
      <w:r w:rsidR="002741F1">
        <w:rPr>
          <w:rStyle w:val="Nagwek1Znak"/>
          <w:rFonts w:ascii="Times New Roman" w:hAnsi="Times New Roman"/>
          <w:color w:val="auto"/>
        </w:rPr>
        <w:br/>
      </w:r>
      <w:r w:rsidRPr="00C2563E">
        <w:rPr>
          <w:rStyle w:val="Nagwek1Znak"/>
          <w:rFonts w:ascii="Times New Roman" w:hAnsi="Times New Roman"/>
          <w:color w:val="auto"/>
        </w:rPr>
        <w:t xml:space="preserve">z Instrukcji </w:t>
      </w:r>
      <w:r w:rsidR="00E738C6" w:rsidRPr="00C2563E">
        <w:rPr>
          <w:rStyle w:val="Nagwek1Znak"/>
          <w:rFonts w:ascii="Times New Roman" w:hAnsi="Times New Roman"/>
          <w:color w:val="auto"/>
        </w:rPr>
        <w:t xml:space="preserve">przenoszenia rachunków płatniczych dla Klientów </w:t>
      </w:r>
      <w:r w:rsidR="0045450F" w:rsidRPr="00C2563E">
        <w:rPr>
          <w:rStyle w:val="Nagwek1Znak"/>
          <w:rFonts w:ascii="Times New Roman" w:hAnsi="Times New Roman"/>
          <w:color w:val="auto"/>
        </w:rPr>
        <w:t xml:space="preserve">indywidualnych </w:t>
      </w:r>
      <w:r w:rsidR="00E738C6" w:rsidRPr="00C2563E">
        <w:rPr>
          <w:rStyle w:val="Nagwek1Znak"/>
          <w:rFonts w:ascii="Times New Roman" w:hAnsi="Times New Roman"/>
          <w:color w:val="auto"/>
        </w:rPr>
        <w:t xml:space="preserve">Banku </w:t>
      </w:r>
      <w:r w:rsidR="002E446C" w:rsidRPr="00C2563E">
        <w:rPr>
          <w:rStyle w:val="Nagwek1Znak"/>
          <w:rFonts w:ascii="Times New Roman" w:hAnsi="Times New Roman"/>
          <w:color w:val="auto"/>
        </w:rPr>
        <w:t>Spółdzielczym w Miedźnej</w:t>
      </w:r>
    </w:p>
    <w:p w:rsidR="00E738C6" w:rsidRPr="002741F1" w:rsidRDefault="00E738C6" w:rsidP="002741F1">
      <w:pPr>
        <w:pStyle w:val="Nagwek2"/>
        <w:spacing w:before="0" w:line="276" w:lineRule="auto"/>
        <w:rPr>
          <w:caps w:val="0"/>
          <w:sz w:val="24"/>
          <w:szCs w:val="24"/>
        </w:rPr>
      </w:pPr>
      <w:r w:rsidRPr="002741F1">
        <w:rPr>
          <w:caps w:val="0"/>
          <w:sz w:val="24"/>
          <w:szCs w:val="24"/>
        </w:rPr>
        <w:t>Rozdział 1. Postanowienia ogólne</w:t>
      </w:r>
    </w:p>
    <w:p w:rsidR="00E738C6" w:rsidRPr="002741F1" w:rsidRDefault="00E738C6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r w:rsidRPr="002741F1">
        <w:rPr>
          <w:szCs w:val="24"/>
        </w:rPr>
        <w:t>§ 1.</w:t>
      </w:r>
      <w:r w:rsidRPr="002741F1">
        <w:rPr>
          <w:szCs w:val="24"/>
        </w:rPr>
        <w:tab/>
      </w:r>
    </w:p>
    <w:p w:rsidR="00E738C6" w:rsidRPr="002741F1" w:rsidRDefault="008A3624" w:rsidP="002741F1">
      <w:pPr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Wyciąg z Instrukcji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przenoszenia rachunków płatniczych dla Klientów indywidualnych zwan</w:t>
      </w:r>
      <w:r w:rsidRPr="002741F1">
        <w:rPr>
          <w:rFonts w:ascii="Times New Roman" w:hAnsi="Times New Roman"/>
          <w:sz w:val="24"/>
          <w:szCs w:val="24"/>
          <w:lang w:eastAsia="pl-PL"/>
        </w:rPr>
        <w:t>y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dalej</w:t>
      </w:r>
      <w:r w:rsidR="00AF4304" w:rsidRPr="002741F1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nstrukcją określa zasady i tryb przenoszenia rachunków </w:t>
      </w:r>
      <w:r w:rsidR="006B376A" w:rsidRPr="002741F1">
        <w:rPr>
          <w:rFonts w:ascii="Times New Roman" w:hAnsi="Times New Roman"/>
          <w:sz w:val="24"/>
          <w:szCs w:val="24"/>
          <w:lang w:eastAsia="pl-PL"/>
        </w:rPr>
        <w:t xml:space="preserve">płatniczych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AF4304" w:rsidRPr="002741F1">
        <w:rPr>
          <w:rFonts w:ascii="Times New Roman" w:hAnsi="Times New Roman"/>
          <w:sz w:val="24"/>
          <w:szCs w:val="24"/>
          <w:lang w:eastAsia="pl-PL"/>
        </w:rPr>
        <w:t xml:space="preserve">Klientów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indywidualnych w Banku </w:t>
      </w:r>
      <w:r w:rsidR="002E446C" w:rsidRPr="002741F1">
        <w:rPr>
          <w:rFonts w:ascii="Times New Roman" w:hAnsi="Times New Roman"/>
          <w:sz w:val="24"/>
          <w:szCs w:val="24"/>
          <w:lang w:eastAsia="pl-PL"/>
        </w:rPr>
        <w:t>Spółdzielczym w Miedźnej.</w:t>
      </w:r>
    </w:p>
    <w:p w:rsidR="00E738C6" w:rsidRPr="002741F1" w:rsidRDefault="00E738C6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r w:rsidRPr="002741F1">
        <w:rPr>
          <w:szCs w:val="24"/>
        </w:rPr>
        <w:t>§ 2.</w:t>
      </w:r>
      <w:r w:rsidRPr="002741F1">
        <w:rPr>
          <w:szCs w:val="24"/>
        </w:rPr>
        <w:tab/>
      </w:r>
    </w:p>
    <w:p w:rsidR="00E738C6" w:rsidRPr="002741F1" w:rsidRDefault="00E738C6" w:rsidP="002741F1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Użyte w Instrukcji określenia oznaczają:</w:t>
      </w:r>
    </w:p>
    <w:p w:rsidR="00FC6144" w:rsidRPr="002741F1" w:rsidRDefault="00E738C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Bank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- Bank </w:t>
      </w:r>
      <w:r w:rsidR="002E446C" w:rsidRPr="002741F1">
        <w:rPr>
          <w:rFonts w:ascii="Times New Roman" w:hAnsi="Times New Roman"/>
          <w:sz w:val="24"/>
          <w:szCs w:val="24"/>
          <w:lang w:eastAsia="pl-PL"/>
        </w:rPr>
        <w:t>Spółdzielczy w Miedźnej</w:t>
      </w:r>
      <w:r w:rsidR="00882AB9" w:rsidRPr="002741F1">
        <w:rPr>
          <w:rFonts w:ascii="Times New Roman" w:hAnsi="Times New Roman"/>
          <w:sz w:val="24"/>
          <w:szCs w:val="24"/>
          <w:lang w:eastAsia="pl-PL"/>
        </w:rPr>
        <w:t>;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738C6" w:rsidRPr="002741F1" w:rsidRDefault="004409F0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N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owy rachunek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– rachunek </w:t>
      </w:r>
      <w:r w:rsidR="00FC6144" w:rsidRPr="002741F1">
        <w:rPr>
          <w:rFonts w:ascii="Times New Roman" w:hAnsi="Times New Roman"/>
          <w:sz w:val="24"/>
          <w:szCs w:val="24"/>
          <w:lang w:eastAsia="pl-PL"/>
        </w:rPr>
        <w:t xml:space="preserve">Klienta w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banku przyjmując</w:t>
      </w:r>
      <w:r w:rsidR="00AF4304" w:rsidRPr="002741F1">
        <w:rPr>
          <w:rFonts w:ascii="Times New Roman" w:hAnsi="Times New Roman"/>
          <w:sz w:val="24"/>
          <w:szCs w:val="24"/>
          <w:lang w:eastAsia="pl-PL"/>
        </w:rPr>
        <w:t>ym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;</w:t>
      </w:r>
    </w:p>
    <w:p w:rsidR="00E738C6" w:rsidRPr="002741F1" w:rsidRDefault="004409F0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B</w:t>
      </w:r>
      <w:r w:rsidR="003919D9" w:rsidRPr="002741F1">
        <w:rPr>
          <w:rFonts w:ascii="Times New Roman" w:hAnsi="Times New Roman"/>
          <w:b/>
          <w:sz w:val="24"/>
          <w:szCs w:val="24"/>
          <w:lang w:eastAsia="pl-PL"/>
        </w:rPr>
        <w:t xml:space="preserve">ank 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przekazujący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– bank, z którego przenoszony jest rachunek (w tym Bank);</w:t>
      </w:r>
    </w:p>
    <w:p w:rsidR="00E738C6" w:rsidRPr="002741F1" w:rsidRDefault="004409F0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B</w:t>
      </w:r>
      <w:r w:rsidR="003919D9" w:rsidRPr="002741F1">
        <w:rPr>
          <w:rFonts w:ascii="Times New Roman" w:hAnsi="Times New Roman"/>
          <w:b/>
          <w:sz w:val="24"/>
          <w:szCs w:val="24"/>
          <w:lang w:eastAsia="pl-PL"/>
        </w:rPr>
        <w:t xml:space="preserve">ank 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przyjmujący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– bank, do którego przenoszony jest rachunek (w tym Bank);</w:t>
      </w:r>
    </w:p>
    <w:p w:rsidR="00E738C6" w:rsidRPr="002741F1" w:rsidRDefault="00346812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D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otychczasowy rachunek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– rachunek Klienta w Banku;</w:t>
      </w:r>
    </w:p>
    <w:p w:rsidR="00E738C6" w:rsidRPr="002741F1" w:rsidRDefault="00E738C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Dzień roboczy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6812" w:rsidRPr="002741F1">
        <w:rPr>
          <w:rFonts w:ascii="Times New Roman" w:hAnsi="Times New Roman"/>
          <w:sz w:val="24"/>
          <w:szCs w:val="24"/>
          <w:lang w:eastAsia="pl-PL"/>
        </w:rPr>
        <w:t>-</w:t>
      </w:r>
      <w:r w:rsidR="006B376A" w:rsidRPr="002741F1">
        <w:rPr>
          <w:rFonts w:ascii="Times New Roman" w:hAnsi="Times New Roman"/>
          <w:color w:val="000000"/>
          <w:sz w:val="24"/>
          <w:szCs w:val="24"/>
        </w:rPr>
        <w:t xml:space="preserve"> każdy dzień z wyjątkiem sobót i dni ustawowo wolnych od pracy</w:t>
      </w:r>
      <w:r w:rsidR="00882AB9" w:rsidRPr="002741F1">
        <w:rPr>
          <w:rFonts w:ascii="Times New Roman" w:hAnsi="Times New Roman"/>
          <w:color w:val="000000"/>
          <w:sz w:val="24"/>
          <w:szCs w:val="24"/>
        </w:rPr>
        <w:t>;</w:t>
      </w:r>
    </w:p>
    <w:p w:rsidR="003919D9" w:rsidRPr="002741F1" w:rsidRDefault="003919D9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Główny Punkt Kontaktowy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D01203" w:rsidRPr="002741F1">
        <w:rPr>
          <w:rFonts w:ascii="Times New Roman" w:hAnsi="Times New Roman"/>
          <w:sz w:val="24"/>
          <w:szCs w:val="24"/>
        </w:rPr>
        <w:t>bank przyjmujący, który podejmuje czynności zmierzające do przeniesienia rachunku płatniczego Klienta lub usług powiązanych z rachunkiem płatniczym oraz informuje Klienta o procesie przenoszenia rachunku płatniczego;</w:t>
      </w:r>
    </w:p>
    <w:p w:rsidR="00E738C6" w:rsidRPr="002741F1" w:rsidRDefault="00E738C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 xml:space="preserve">Klient </w:t>
      </w:r>
      <w:r w:rsidRPr="002741F1">
        <w:rPr>
          <w:rFonts w:ascii="Times New Roman" w:hAnsi="Times New Roman"/>
          <w:sz w:val="24"/>
          <w:szCs w:val="24"/>
          <w:lang w:eastAsia="pl-PL"/>
        </w:rPr>
        <w:t>- klient indywidualny (konsument);</w:t>
      </w:r>
    </w:p>
    <w:p w:rsidR="00E738C6" w:rsidRPr="002741F1" w:rsidRDefault="00E738C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Państwo członkowskie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6B376A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376A" w:rsidRPr="002741F1">
        <w:rPr>
          <w:rFonts w:ascii="Times New Roman" w:hAnsi="Times New Roman"/>
          <w:color w:val="000000"/>
          <w:sz w:val="24"/>
          <w:szCs w:val="24"/>
        </w:rPr>
        <w:t>państwo członkowskie Unii Europejskiej albo państwo członkowskie Europejskiego Porozumienia o Wolnym Handlu (EFTA) – stronę umowy o Europejskim Obszarze Gospodarczym (lista krajów dostępna na stronie internetowej www.uniaeuropejska.org/europejski-obszar-gospodarczy</w:t>
      </w:r>
      <w:r w:rsidR="00882AB9" w:rsidRPr="002741F1">
        <w:rPr>
          <w:rFonts w:ascii="Times New Roman" w:hAnsi="Times New Roman"/>
          <w:color w:val="000000"/>
          <w:sz w:val="24"/>
          <w:szCs w:val="24"/>
        </w:rPr>
        <w:t>)</w:t>
      </w:r>
      <w:r w:rsidR="006B376A" w:rsidRPr="002741F1">
        <w:rPr>
          <w:rFonts w:ascii="Times New Roman" w:hAnsi="Times New Roman"/>
          <w:color w:val="000000"/>
          <w:sz w:val="24"/>
          <w:szCs w:val="24"/>
        </w:rPr>
        <w:t>;</w:t>
      </w:r>
    </w:p>
    <w:p w:rsidR="00E738C6" w:rsidRPr="002741F1" w:rsidRDefault="00E738C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Placówka Banku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– jednostka organizacyjna Banku (prowadząca rachunek płatniczy);</w:t>
      </w:r>
    </w:p>
    <w:p w:rsidR="00E738C6" w:rsidRPr="002741F1" w:rsidRDefault="00346812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achunek płatniczy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- rachunek umożliwiający dokonywanie wpłat środków pieniężnych</w:t>
      </w:r>
      <w:r w:rsidR="006B376A" w:rsidRPr="002741F1">
        <w:rPr>
          <w:rFonts w:ascii="Times New Roman" w:hAnsi="Times New Roman"/>
          <w:sz w:val="24"/>
          <w:szCs w:val="24"/>
          <w:lang w:eastAsia="pl-PL"/>
        </w:rPr>
        <w:t xml:space="preserve"> na ten rachunek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, dokonywanie wypłat gotówki </w:t>
      </w:r>
      <w:r w:rsidR="006B376A" w:rsidRPr="002741F1">
        <w:rPr>
          <w:rFonts w:ascii="Times New Roman" w:hAnsi="Times New Roman"/>
          <w:sz w:val="24"/>
          <w:szCs w:val="24"/>
          <w:lang w:eastAsia="pl-PL"/>
        </w:rPr>
        <w:t xml:space="preserve">z tego rachunku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oraz zlecanie i odbieranie transakcji płatniczych (np. rachunek oszczędnościowo-rozliczeniowy, konto oszczędnościowe, konto walutowe)</w:t>
      </w:r>
      <w:r w:rsidR="006B376A" w:rsidRPr="002741F1">
        <w:rPr>
          <w:rFonts w:ascii="Times New Roman" w:hAnsi="Times New Roman"/>
          <w:sz w:val="24"/>
          <w:szCs w:val="24"/>
          <w:lang w:eastAsia="pl-PL"/>
        </w:rPr>
        <w:t>;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94916" w:rsidRPr="002741F1" w:rsidRDefault="0019491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 xml:space="preserve">Upoważnienie </w:t>
      </w:r>
      <w:r w:rsidR="00D01203" w:rsidRPr="002741F1">
        <w:rPr>
          <w:rFonts w:ascii="Times New Roman" w:hAnsi="Times New Roman"/>
          <w:sz w:val="24"/>
          <w:szCs w:val="24"/>
          <w:lang w:eastAsia="pl-PL"/>
        </w:rPr>
        <w:t>– upoważnienie do przeniesienia rachunku płatniczego złożone przez Klienta w banku przyjmującym</w:t>
      </w:r>
      <w:r w:rsidR="00AF4304" w:rsidRPr="002741F1">
        <w:rPr>
          <w:rFonts w:ascii="Times New Roman" w:hAnsi="Times New Roman"/>
          <w:sz w:val="24"/>
          <w:szCs w:val="24"/>
          <w:lang w:eastAsia="pl-PL"/>
        </w:rPr>
        <w:t>;</w:t>
      </w:r>
    </w:p>
    <w:p w:rsidR="00E738C6" w:rsidRPr="002741F1" w:rsidRDefault="00346812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lastRenderedPageBreak/>
        <w:t>U</w:t>
      </w:r>
      <w:r w:rsidR="00E738C6" w:rsidRPr="002741F1">
        <w:rPr>
          <w:rFonts w:ascii="Times New Roman" w:hAnsi="Times New Roman"/>
          <w:b/>
          <w:sz w:val="24"/>
          <w:szCs w:val="24"/>
          <w:lang w:eastAsia="pl-PL"/>
        </w:rPr>
        <w:t>sługi płatnicze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– zlecenia stałe, regularnie przychodzące na rachunek Klienta polecenia przelewu i polecenia zapłaty</w:t>
      </w:r>
      <w:r w:rsidR="00F939F9" w:rsidRPr="002741F1">
        <w:rPr>
          <w:rFonts w:ascii="Times New Roman" w:hAnsi="Times New Roman"/>
          <w:sz w:val="24"/>
          <w:szCs w:val="24"/>
          <w:lang w:eastAsia="pl-PL"/>
        </w:rPr>
        <w:t>;</w:t>
      </w:r>
    </w:p>
    <w:p w:rsidR="00194916" w:rsidRPr="002741F1" w:rsidRDefault="00194916" w:rsidP="002741F1">
      <w:pPr>
        <w:pStyle w:val="Tekstpodstawowy"/>
        <w:numPr>
          <w:ilvl w:val="0"/>
          <w:numId w:val="13"/>
        </w:numPr>
        <w:tabs>
          <w:tab w:val="left" w:pos="1134"/>
        </w:tabs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b/>
          <w:sz w:val="24"/>
          <w:szCs w:val="24"/>
          <w:lang w:eastAsia="pl-PL"/>
        </w:rPr>
        <w:t xml:space="preserve">Wniosek </w:t>
      </w:r>
      <w:r w:rsidR="00D01203" w:rsidRPr="002741F1">
        <w:rPr>
          <w:rFonts w:ascii="Times New Roman" w:hAnsi="Times New Roman"/>
          <w:sz w:val="24"/>
          <w:szCs w:val="24"/>
          <w:lang w:eastAsia="pl-PL"/>
        </w:rPr>
        <w:t>–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F4304" w:rsidRPr="002741F1">
        <w:rPr>
          <w:rFonts w:ascii="Times New Roman" w:hAnsi="Times New Roman"/>
          <w:sz w:val="24"/>
          <w:szCs w:val="24"/>
          <w:lang w:eastAsia="pl-PL"/>
        </w:rPr>
        <w:t>wniosek o przeniesienie rachunku płatniczego</w:t>
      </w:r>
      <w:r w:rsidR="00D01203" w:rsidRPr="002741F1">
        <w:rPr>
          <w:rFonts w:ascii="Times New Roman" w:hAnsi="Times New Roman"/>
          <w:sz w:val="24"/>
          <w:szCs w:val="24"/>
          <w:lang w:eastAsia="pl-PL"/>
        </w:rPr>
        <w:t xml:space="preserve"> będący załącznikiem do Upoważnienia złożony przez Klienta w banku prz</w:t>
      </w:r>
      <w:r w:rsidR="00F939F9" w:rsidRPr="002741F1">
        <w:rPr>
          <w:rFonts w:ascii="Times New Roman" w:hAnsi="Times New Roman"/>
          <w:sz w:val="24"/>
          <w:szCs w:val="24"/>
          <w:lang w:eastAsia="pl-PL"/>
        </w:rPr>
        <w:t>y</w:t>
      </w:r>
      <w:r w:rsidR="00D01203" w:rsidRPr="002741F1">
        <w:rPr>
          <w:rFonts w:ascii="Times New Roman" w:hAnsi="Times New Roman"/>
          <w:sz w:val="24"/>
          <w:szCs w:val="24"/>
          <w:lang w:eastAsia="pl-PL"/>
        </w:rPr>
        <w:t>jmującym</w:t>
      </w:r>
      <w:r w:rsidR="00F939F9"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BD1F20" w:rsidRPr="002741F1" w:rsidRDefault="00BD1F20" w:rsidP="002741F1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F20" w:rsidRPr="002741F1" w:rsidRDefault="00BD1F20" w:rsidP="002741F1">
      <w:pPr>
        <w:pStyle w:val="Nagwek2"/>
        <w:spacing w:before="0" w:line="276" w:lineRule="auto"/>
        <w:rPr>
          <w:caps w:val="0"/>
          <w:sz w:val="24"/>
          <w:szCs w:val="24"/>
        </w:rPr>
      </w:pPr>
      <w:r w:rsidRPr="002741F1">
        <w:rPr>
          <w:caps w:val="0"/>
          <w:sz w:val="24"/>
          <w:szCs w:val="24"/>
        </w:rPr>
        <w:t>Rozdział 2. Zasady przenoszenia Rachunków płatniczych</w:t>
      </w:r>
    </w:p>
    <w:p w:rsidR="00E738C6" w:rsidRPr="002741F1" w:rsidRDefault="00E738C6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r w:rsidRPr="002741F1">
        <w:rPr>
          <w:szCs w:val="24"/>
        </w:rPr>
        <w:t>§ 3.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Klient ma prawo do otrzymania w Banku rzetelnej, czytelnej i bezpłatnej informacji o trybie przenoszenia rachunku</w:t>
      </w:r>
      <w:r w:rsidR="00FC6144" w:rsidRPr="002741F1">
        <w:rPr>
          <w:rFonts w:ascii="Times New Roman" w:hAnsi="Times New Roman"/>
          <w:sz w:val="24"/>
          <w:szCs w:val="24"/>
          <w:lang w:eastAsia="pl-PL"/>
        </w:rPr>
        <w:t xml:space="preserve"> płatniczego</w:t>
      </w:r>
      <w:r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E738C6" w:rsidRPr="002741F1" w:rsidRDefault="00E7315D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Klient zainteresowany przeniesieniem rachunku składa Upoważnienie i Wniosek w banku przyjmującym.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>U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poważnienia Klienta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może działać jako Główny Punkt Kontaktowy. Wzór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>U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poważnienia oraz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>W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niosku</w:t>
      </w:r>
      <w:r w:rsidR="00FC6144" w:rsidRPr="002741F1">
        <w:rPr>
          <w:rFonts w:ascii="Times New Roman" w:hAnsi="Times New Roman"/>
          <w:sz w:val="24"/>
          <w:szCs w:val="24"/>
          <w:lang w:eastAsia="pl-PL"/>
        </w:rPr>
        <w:t>,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dostępny jest</w:t>
      </w:r>
      <w:r w:rsidR="00DD06BE" w:rsidRPr="002741F1">
        <w:rPr>
          <w:rFonts w:ascii="Times New Roman" w:hAnsi="Times New Roman"/>
          <w:sz w:val="24"/>
          <w:szCs w:val="24"/>
          <w:lang w:eastAsia="pl-PL"/>
        </w:rPr>
        <w:t xml:space="preserve"> w placówce Banku i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na stronie internetowej.</w:t>
      </w:r>
    </w:p>
    <w:p w:rsidR="00233EB4" w:rsidRPr="002741F1" w:rsidRDefault="00233EB4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</w:rPr>
        <w:t xml:space="preserve">Bank przyjmujący, który nie świadczy usług świadczonych przez bank przekazujący, nie jest zobowiązany do ich świadczenia w ramach otwieranego przez niego </w:t>
      </w:r>
      <w:r w:rsidR="006A7F5E" w:rsidRPr="002741F1">
        <w:rPr>
          <w:rFonts w:ascii="Times New Roman" w:hAnsi="Times New Roman"/>
          <w:sz w:val="24"/>
          <w:szCs w:val="24"/>
        </w:rPr>
        <w:t>R</w:t>
      </w:r>
      <w:r w:rsidRPr="002741F1">
        <w:rPr>
          <w:rFonts w:ascii="Times New Roman" w:hAnsi="Times New Roman"/>
          <w:sz w:val="24"/>
          <w:szCs w:val="24"/>
        </w:rPr>
        <w:t xml:space="preserve">achunku </w:t>
      </w:r>
      <w:r w:rsidR="006A7F5E" w:rsidRPr="002741F1">
        <w:rPr>
          <w:rFonts w:ascii="Times New Roman" w:hAnsi="Times New Roman"/>
          <w:sz w:val="24"/>
          <w:szCs w:val="24"/>
        </w:rPr>
        <w:t xml:space="preserve">płatniczego </w:t>
      </w:r>
      <w:r w:rsidRPr="002741F1">
        <w:rPr>
          <w:rFonts w:ascii="Times New Roman" w:hAnsi="Times New Roman"/>
          <w:sz w:val="24"/>
          <w:szCs w:val="24"/>
        </w:rPr>
        <w:t>dla Klienta przenoszącego do niego</w:t>
      </w:r>
      <w:r w:rsidR="006A7F5E" w:rsidRPr="002741F1">
        <w:rPr>
          <w:rFonts w:ascii="Times New Roman" w:hAnsi="Times New Roman"/>
          <w:sz w:val="24"/>
          <w:szCs w:val="24"/>
        </w:rPr>
        <w:t xml:space="preserve"> R</w:t>
      </w:r>
      <w:r w:rsidRPr="002741F1">
        <w:rPr>
          <w:rFonts w:ascii="Times New Roman" w:hAnsi="Times New Roman"/>
          <w:sz w:val="24"/>
          <w:szCs w:val="24"/>
        </w:rPr>
        <w:t>achunek</w:t>
      </w:r>
      <w:r w:rsidR="006A7F5E" w:rsidRPr="002741F1">
        <w:rPr>
          <w:rFonts w:ascii="Times New Roman" w:hAnsi="Times New Roman"/>
          <w:sz w:val="24"/>
          <w:szCs w:val="24"/>
        </w:rPr>
        <w:t xml:space="preserve"> płatniczy. Aktualna oferta Rachunków płatniczych dostępnych w Banku oraz usług powiązanych z tym rachunkiem jest </w:t>
      </w:r>
      <w:r w:rsidR="00CF22FB" w:rsidRPr="002741F1">
        <w:rPr>
          <w:rFonts w:ascii="Times New Roman" w:hAnsi="Times New Roman"/>
          <w:sz w:val="24"/>
          <w:szCs w:val="24"/>
        </w:rPr>
        <w:t xml:space="preserve">dostępna </w:t>
      </w:r>
      <w:r w:rsidR="006A7F5E" w:rsidRPr="002741F1">
        <w:rPr>
          <w:rFonts w:ascii="Times New Roman" w:hAnsi="Times New Roman"/>
          <w:sz w:val="24"/>
          <w:szCs w:val="24"/>
        </w:rPr>
        <w:t>na stronie internetowej Banku (</w:t>
      </w:r>
      <w:hyperlink r:id="rId9" w:history="1">
        <w:r w:rsidR="00FE23DA" w:rsidRPr="002741F1">
          <w:rPr>
            <w:rStyle w:val="Hipercze"/>
            <w:rFonts w:ascii="Times New Roman" w:hAnsi="Times New Roman"/>
            <w:sz w:val="24"/>
            <w:szCs w:val="24"/>
          </w:rPr>
          <w:t>www.bsmiedzna.pl</w:t>
        </w:r>
      </w:hyperlink>
      <w:r w:rsidR="006A7F5E" w:rsidRPr="002741F1">
        <w:rPr>
          <w:rFonts w:ascii="Times New Roman" w:hAnsi="Times New Roman"/>
          <w:sz w:val="24"/>
          <w:szCs w:val="24"/>
        </w:rPr>
        <w:t>) oraz w każdej Placówce Banku.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Upoważnienie</w:t>
      </w:r>
      <w:r w:rsidR="00162B33" w:rsidRPr="002741F1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Wniosek mogą </w:t>
      </w:r>
      <w:r w:rsidRPr="002741F1">
        <w:rPr>
          <w:rFonts w:ascii="Times New Roman" w:hAnsi="Times New Roman"/>
          <w:sz w:val="24"/>
          <w:szCs w:val="24"/>
          <w:lang w:eastAsia="pl-PL"/>
        </w:rPr>
        <w:t>być złożone w postaci papierowej</w:t>
      </w:r>
      <w:r w:rsidR="00DD06BE"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346812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przypadku, gdy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>U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poważnienie </w:t>
      </w:r>
      <w:r w:rsidR="00162B33" w:rsidRPr="002741F1">
        <w:rPr>
          <w:rFonts w:ascii="Times New Roman" w:hAnsi="Times New Roman"/>
          <w:sz w:val="24"/>
          <w:szCs w:val="24"/>
          <w:lang w:eastAsia="pl-PL"/>
        </w:rPr>
        <w:t xml:space="preserve">wraz z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Wnioskiem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składane jest w formie papierowej musi ono wraz </w:t>
      </w:r>
      <w:r w:rsidR="00882AB9" w:rsidRPr="002741F1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załączonym do niego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Wnioskiem </w:t>
      </w:r>
      <w:r w:rsidRPr="002741F1">
        <w:rPr>
          <w:rFonts w:ascii="Times New Roman" w:hAnsi="Times New Roman"/>
          <w:sz w:val="24"/>
          <w:szCs w:val="24"/>
          <w:lang w:eastAsia="pl-PL"/>
        </w:rPr>
        <w:t>zostać podpisane zgodnie z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>e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wzorem podpisu złożonym w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Pr="002741F1">
        <w:rPr>
          <w:rFonts w:ascii="Times New Roman" w:hAnsi="Times New Roman"/>
          <w:sz w:val="24"/>
          <w:szCs w:val="24"/>
          <w:lang w:eastAsia="pl-PL"/>
        </w:rPr>
        <w:t>przekazującym (w banku, w którym Klient posiada rachunek płatniczy, który będzie przenoszony).</w:t>
      </w:r>
      <w:r w:rsidR="00346812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46812" w:rsidRPr="002741F1" w:rsidRDefault="00162B33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przypadku, gdy przenoszony rachunek płatniczy jest rachunkiem wspólnym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 w:rsidR="009D77B2" w:rsidRPr="002741F1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Upoważnienie </w:t>
      </w:r>
      <w:r w:rsidR="009D77B2" w:rsidRPr="002741F1">
        <w:rPr>
          <w:rFonts w:ascii="Times New Roman" w:hAnsi="Times New Roman"/>
          <w:sz w:val="24"/>
          <w:szCs w:val="24"/>
          <w:lang w:eastAsia="pl-PL"/>
        </w:rPr>
        <w:t>musi być podpisane przez wszystkich właścicieli rachunku.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Niezgodność podpisu na złożonym </w:t>
      </w:r>
      <w:r w:rsidR="00E7315D" w:rsidRPr="002741F1">
        <w:rPr>
          <w:rFonts w:ascii="Times New Roman" w:hAnsi="Times New Roman"/>
          <w:sz w:val="24"/>
          <w:szCs w:val="24"/>
          <w:lang w:eastAsia="pl-PL"/>
        </w:rPr>
        <w:t xml:space="preserve">papierowo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Wniosku </w:t>
      </w:r>
      <w:r w:rsidR="00857450" w:rsidRPr="002741F1">
        <w:rPr>
          <w:rFonts w:ascii="Times New Roman" w:hAnsi="Times New Roman"/>
          <w:sz w:val="24"/>
          <w:szCs w:val="24"/>
          <w:lang w:eastAsia="pl-PL"/>
        </w:rPr>
        <w:t>lub</w:t>
      </w:r>
      <w:r w:rsidR="00A20652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Upoważnieniu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stwierdzona przez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przekazujący spowoduje odmowę realizacji procesu przenoszenia rachunku przez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przekazujący. Bank przekazujący powinien niezwłocznie przekazać informacje o tym fakcie do </w:t>
      </w:r>
      <w:r w:rsidR="00783E8A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Pr="002741F1">
        <w:rPr>
          <w:rFonts w:ascii="Times New Roman" w:hAnsi="Times New Roman"/>
          <w:sz w:val="24"/>
          <w:szCs w:val="24"/>
          <w:lang w:eastAsia="pl-PL"/>
        </w:rPr>
        <w:t>przyjmującego.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przypadku, gdy złożony wraz z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U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poważnieniem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W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niosek zawiera żądanie przeniesienia zleceń stałych </w:t>
      </w:r>
      <w:r w:rsidR="00B178A6" w:rsidRPr="002741F1">
        <w:rPr>
          <w:rFonts w:ascii="Times New Roman" w:hAnsi="Times New Roman"/>
          <w:sz w:val="24"/>
          <w:szCs w:val="24"/>
          <w:lang w:eastAsia="pl-PL"/>
        </w:rPr>
        <w:t xml:space="preserve">dotyczących </w:t>
      </w:r>
      <w:r w:rsidRPr="002741F1">
        <w:rPr>
          <w:rFonts w:ascii="Times New Roman" w:hAnsi="Times New Roman"/>
          <w:sz w:val="24"/>
          <w:szCs w:val="24"/>
          <w:lang w:eastAsia="pl-PL"/>
        </w:rPr>
        <w:t>poleceń pr</w:t>
      </w:r>
      <w:r w:rsidR="00162B33" w:rsidRPr="002741F1">
        <w:rPr>
          <w:rFonts w:ascii="Times New Roman" w:hAnsi="Times New Roman"/>
          <w:sz w:val="24"/>
          <w:szCs w:val="24"/>
          <w:lang w:eastAsia="pl-PL"/>
        </w:rPr>
        <w:t xml:space="preserve">zelewu oraz poleceń zapłaty,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data określona we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Wniosku</w:t>
      </w:r>
      <w:r w:rsidR="00B178A6" w:rsidRPr="002741F1">
        <w:rPr>
          <w:rFonts w:ascii="Times New Roman" w:hAnsi="Times New Roman"/>
          <w:sz w:val="24"/>
          <w:szCs w:val="24"/>
          <w:lang w:eastAsia="pl-PL"/>
        </w:rPr>
        <w:t>, od której mają być one realizowane,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powinna przypadać na </w:t>
      </w:r>
      <w:r w:rsidR="00B178A6" w:rsidRPr="002741F1">
        <w:rPr>
          <w:rFonts w:ascii="Times New Roman" w:hAnsi="Times New Roman"/>
          <w:sz w:val="24"/>
          <w:szCs w:val="24"/>
          <w:lang w:eastAsia="pl-PL"/>
        </w:rPr>
        <w:t xml:space="preserve">co najmniej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6 dzień roboczy licząc od daty otrzymania przez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b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ank 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 xml:space="preserve">przyjmujący </w:t>
      </w:r>
      <w:r w:rsidR="00D30996" w:rsidRPr="002741F1">
        <w:rPr>
          <w:rFonts w:ascii="Times New Roman" w:hAnsi="Times New Roman"/>
          <w:sz w:val="24"/>
          <w:szCs w:val="24"/>
          <w:lang w:eastAsia="pl-PL"/>
        </w:rPr>
        <w:t xml:space="preserve">od banku przekazującego informacji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 xml:space="preserve">objętych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Wniosk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>iem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. Jeżeli data określona we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 xml:space="preserve">Wniosku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przypada na dzień wcześniejszy niż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>ww</w:t>
      </w:r>
      <w:r w:rsidR="00F51F7D" w:rsidRPr="002741F1">
        <w:rPr>
          <w:rFonts w:ascii="Times New Roman" w:hAnsi="Times New Roman"/>
          <w:sz w:val="24"/>
          <w:szCs w:val="24"/>
          <w:lang w:eastAsia="pl-PL"/>
        </w:rPr>
        <w:t>.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wówczas </w:t>
      </w:r>
      <w:r w:rsidR="00961146"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 xml:space="preserve">przyjmujący </w:t>
      </w:r>
      <w:r w:rsidRPr="002741F1">
        <w:rPr>
          <w:rFonts w:ascii="Times New Roman" w:hAnsi="Times New Roman"/>
          <w:sz w:val="24"/>
          <w:szCs w:val="24"/>
          <w:lang w:eastAsia="pl-PL"/>
        </w:rPr>
        <w:t>wykonuje je po upływie 6 dni roboczych od d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>nia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otrzymania od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przekazującego 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 xml:space="preserve">informacji zawartych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>w ww.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2EBC" w:rsidRPr="002741F1">
        <w:rPr>
          <w:rFonts w:ascii="Times New Roman" w:hAnsi="Times New Roman"/>
          <w:sz w:val="24"/>
          <w:szCs w:val="24"/>
          <w:lang w:eastAsia="pl-PL"/>
        </w:rPr>
        <w:t>Wniosku</w:t>
      </w:r>
      <w:r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przypadku, gdy Bank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występując w roli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 xml:space="preserve">przyjmującego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otrzyma niekompletne dane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dotyczące </w:t>
      </w:r>
      <w:r w:rsidRPr="002741F1">
        <w:rPr>
          <w:rFonts w:ascii="Times New Roman" w:hAnsi="Times New Roman"/>
          <w:sz w:val="24"/>
          <w:szCs w:val="24"/>
          <w:lang w:eastAsia="pl-PL"/>
        </w:rPr>
        <w:t>poleceń przelewu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 (zlecenia stałe i polecenia zapłaty)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, wykona tylko te </w:t>
      </w:r>
      <w:r w:rsidRPr="002741F1">
        <w:rPr>
          <w:rFonts w:ascii="Times New Roman" w:hAnsi="Times New Roman"/>
          <w:sz w:val="24"/>
          <w:szCs w:val="24"/>
          <w:lang w:eastAsia="pl-PL"/>
        </w:rPr>
        <w:lastRenderedPageBreak/>
        <w:t xml:space="preserve">zlecenia, co do których posiada wymagane dane do ich realizacji. O brakujących danych poinformuje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Pr="002741F1">
        <w:rPr>
          <w:rFonts w:ascii="Times New Roman" w:hAnsi="Times New Roman"/>
          <w:sz w:val="24"/>
          <w:szCs w:val="24"/>
          <w:lang w:eastAsia="pl-PL"/>
        </w:rPr>
        <w:t>przekazujący i Klienta.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W przypadku, gdy Klient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 zgodnie ze złożonym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 xml:space="preserve">Upoważnieniem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9014A9" w:rsidRPr="002741F1">
        <w:rPr>
          <w:rFonts w:ascii="Times New Roman" w:hAnsi="Times New Roman"/>
          <w:sz w:val="24"/>
          <w:szCs w:val="24"/>
          <w:lang w:eastAsia="pl-PL"/>
        </w:rPr>
        <w:t xml:space="preserve">Wnioskiem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sam poinformuje płatników i odbiorców poleceń zapłaty i zleceń stałych oraz strony trzecie dokonujące regularnych </w:t>
      </w:r>
      <w:r w:rsidR="00274491" w:rsidRPr="002741F1">
        <w:rPr>
          <w:rFonts w:ascii="Times New Roman" w:hAnsi="Times New Roman"/>
          <w:sz w:val="24"/>
          <w:szCs w:val="24"/>
          <w:lang w:eastAsia="pl-PL"/>
        </w:rPr>
        <w:t xml:space="preserve">poleceń przelewów </w:t>
      </w:r>
      <w:r w:rsidRPr="002741F1">
        <w:rPr>
          <w:rFonts w:ascii="Times New Roman" w:hAnsi="Times New Roman"/>
          <w:sz w:val="24"/>
          <w:szCs w:val="24"/>
          <w:lang w:eastAsia="pl-PL"/>
        </w:rPr>
        <w:t>na rachunek Klienta</w:t>
      </w:r>
      <w:r w:rsidR="00524427" w:rsidRPr="002741F1">
        <w:rPr>
          <w:rFonts w:ascii="Times New Roman" w:hAnsi="Times New Roman"/>
          <w:sz w:val="24"/>
          <w:szCs w:val="24"/>
          <w:lang w:eastAsia="pl-PL"/>
        </w:rPr>
        <w:t xml:space="preserve"> o nowym rachunku w banku przyjmującym</w:t>
      </w:r>
      <w:r w:rsidRPr="002741F1">
        <w:rPr>
          <w:rFonts w:ascii="Times New Roman" w:hAnsi="Times New Roman"/>
          <w:sz w:val="24"/>
          <w:szCs w:val="24"/>
          <w:lang w:eastAsia="pl-PL"/>
        </w:rPr>
        <w:t>, wówczas Bank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 działając w roli </w:t>
      </w:r>
      <w:r w:rsidR="00524427" w:rsidRPr="002741F1">
        <w:rPr>
          <w:rFonts w:ascii="Times New Roman" w:hAnsi="Times New Roman"/>
          <w:sz w:val="24"/>
          <w:szCs w:val="24"/>
          <w:lang w:eastAsia="pl-PL"/>
        </w:rPr>
        <w:t>banku przyjmującego</w:t>
      </w:r>
      <w:r w:rsidR="00DD523D" w:rsidRPr="002741F1">
        <w:rPr>
          <w:rFonts w:ascii="Times New Roman" w:hAnsi="Times New Roman"/>
          <w:sz w:val="24"/>
          <w:szCs w:val="24"/>
          <w:lang w:eastAsia="pl-PL"/>
        </w:rPr>
        <w:t>,</w:t>
      </w:r>
      <w:r w:rsidR="00524427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>przekaże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Klientowi</w:t>
      </w:r>
      <w:r w:rsidR="00DD523D" w:rsidRPr="002741F1">
        <w:rPr>
          <w:rFonts w:ascii="Times New Roman" w:hAnsi="Times New Roman"/>
          <w:sz w:val="24"/>
          <w:szCs w:val="24"/>
          <w:lang w:eastAsia="pl-PL"/>
        </w:rPr>
        <w:t>, jeżeli Klient o to wnioskował,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wszelkie dane umożliwiające identyfikację </w:t>
      </w:r>
      <w:r w:rsidR="00524427" w:rsidRPr="002741F1">
        <w:rPr>
          <w:rFonts w:ascii="Times New Roman" w:hAnsi="Times New Roman"/>
          <w:sz w:val="24"/>
          <w:szCs w:val="24"/>
          <w:lang w:eastAsia="pl-PL"/>
        </w:rPr>
        <w:t>tych Usług płatniczych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w terminie 5 dni roboczych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 xml:space="preserve"> od </w:t>
      </w:r>
      <w:r w:rsidR="00524427" w:rsidRPr="002741F1">
        <w:rPr>
          <w:rFonts w:ascii="Times New Roman" w:hAnsi="Times New Roman"/>
          <w:sz w:val="24"/>
          <w:szCs w:val="24"/>
          <w:lang w:eastAsia="pl-PL"/>
        </w:rPr>
        <w:t>otrzymania tych danych od banku przekazującego</w:t>
      </w:r>
      <w:r w:rsidR="00861605"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E738C6" w:rsidRPr="002741F1" w:rsidRDefault="00725F6A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Jeżeli przeniesienie R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achunku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płatniczego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="00125A28" w:rsidRPr="002741F1">
        <w:rPr>
          <w:rFonts w:ascii="Times New Roman" w:hAnsi="Times New Roman"/>
          <w:sz w:val="24"/>
          <w:szCs w:val="24"/>
          <w:lang w:eastAsia="pl-PL"/>
        </w:rPr>
        <w:t xml:space="preserve">przyjmującego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zakończy się rozwiązaniem umowy w Banku, Klient zobowiązany jest do zwrotu do Banku wszelkich kart płatniczych i niewykorzystanych blankietów czekowych, wydanych Klientowi do przenoszonego rachunku 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>Bank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>u do banku przyjmującego</w:t>
      </w:r>
      <w:r w:rsidR="00E738C6" w:rsidRPr="002741F1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25F6A" w:rsidRPr="002741F1" w:rsidRDefault="00725F6A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Jeżeli przeniesienie Rachunku płatniczego</w:t>
      </w:r>
      <w:r w:rsidR="00294D57" w:rsidRPr="002741F1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="00294D57" w:rsidRPr="002741F1">
        <w:rPr>
          <w:rFonts w:ascii="Times New Roman" w:hAnsi="Times New Roman"/>
          <w:sz w:val="24"/>
          <w:szCs w:val="24"/>
          <w:lang w:eastAsia="pl-PL"/>
        </w:rPr>
        <w:t xml:space="preserve">przyjmującego nie wiąże się </w:t>
      </w:r>
      <w:r w:rsidR="00B431E9">
        <w:rPr>
          <w:rFonts w:ascii="Times New Roman" w:hAnsi="Times New Roman"/>
          <w:sz w:val="24"/>
          <w:szCs w:val="24"/>
          <w:lang w:eastAsia="pl-PL"/>
        </w:rPr>
        <w:br/>
      </w:r>
      <w:r w:rsidR="00294D57" w:rsidRPr="002741F1">
        <w:rPr>
          <w:rFonts w:ascii="Times New Roman" w:hAnsi="Times New Roman"/>
          <w:sz w:val="24"/>
          <w:szCs w:val="24"/>
          <w:lang w:eastAsia="pl-PL"/>
        </w:rPr>
        <w:t>z zamknięciem Rachunku płatniczego w Banku wszelkie polecenia przelewów poza przenoszonymi Usługami płatniczymi będą zasilać ten rachunek.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Klient nie może doświadczyć żadnych nieusprawiedliwionych opóźnień w procesie przenoszenia rachunku, wynikających z winy Banku.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Przeniesienie rachunku 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 xml:space="preserve">z Banku </w:t>
      </w:r>
      <w:r w:rsidRPr="002741F1">
        <w:rPr>
          <w:rFonts w:ascii="Times New Roman" w:hAnsi="Times New Roman"/>
          <w:sz w:val="24"/>
          <w:szCs w:val="24"/>
          <w:lang w:eastAsia="pl-PL"/>
        </w:rPr>
        <w:t>do nowego banku</w:t>
      </w:r>
      <w:r w:rsidR="00BE6806" w:rsidRPr="002741F1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3B78C2" w:rsidRPr="002741F1">
        <w:rPr>
          <w:rFonts w:ascii="Times New Roman" w:hAnsi="Times New Roman"/>
          <w:sz w:val="24"/>
          <w:szCs w:val="24"/>
          <w:lang w:eastAsia="pl-PL"/>
        </w:rPr>
        <w:t xml:space="preserve">banku </w:t>
      </w:r>
      <w:r w:rsidR="007341D1" w:rsidRPr="002741F1">
        <w:rPr>
          <w:rFonts w:ascii="Times New Roman" w:hAnsi="Times New Roman"/>
          <w:sz w:val="24"/>
          <w:szCs w:val="24"/>
          <w:lang w:eastAsia="pl-PL"/>
        </w:rPr>
        <w:t xml:space="preserve">przyjmującego </w:t>
      </w:r>
      <w:r w:rsidRPr="002741F1">
        <w:rPr>
          <w:rFonts w:ascii="Times New Roman" w:hAnsi="Times New Roman"/>
          <w:sz w:val="24"/>
          <w:szCs w:val="24"/>
          <w:lang w:eastAsia="pl-PL"/>
        </w:rPr>
        <w:t>nie zwalnia Klienta z zobowiązań wobec Banku (np. wynikających ze spłacanego kredytu, niespłaconych transakcji kartą płatniczą wydaną do przenoszonego rachunku).</w:t>
      </w:r>
    </w:p>
    <w:p w:rsidR="00E738C6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Obowiązkiem Klienta jest wyraźne wskazanie konkretnych płatności cyklicznych, w tym poleceń zapłaty i zleceń stałych (w razie potrzeby wraz ze wskazaniem pełnych danych</w:t>
      </w:r>
      <w:r w:rsidR="00B446D2"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741F1">
        <w:rPr>
          <w:rFonts w:ascii="Times New Roman" w:hAnsi="Times New Roman"/>
          <w:sz w:val="24"/>
          <w:szCs w:val="24"/>
          <w:lang w:eastAsia="pl-PL"/>
        </w:rPr>
        <w:t>i identyfikatorów tych płatności), powiązanych z rachunkiem w dotychczasowym banku</w:t>
      </w:r>
      <w:r w:rsidR="0018053E" w:rsidRPr="002741F1">
        <w:rPr>
          <w:rFonts w:ascii="Times New Roman" w:hAnsi="Times New Roman"/>
          <w:sz w:val="24"/>
          <w:szCs w:val="24"/>
          <w:lang w:eastAsia="pl-PL"/>
        </w:rPr>
        <w:t xml:space="preserve"> (banku przekazującym)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i mających podlegać procesowi przeniesienia. </w:t>
      </w:r>
    </w:p>
    <w:p w:rsidR="00BD1F20" w:rsidRPr="002741F1" w:rsidRDefault="00E738C6" w:rsidP="002741F1">
      <w:pPr>
        <w:pStyle w:val="Akapitzlist"/>
        <w:numPr>
          <w:ilvl w:val="0"/>
          <w:numId w:val="9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celu utrzymania ciągłości płatności otrzymywanych i dokonywanych przez Klienta, zobowiązany jest on ustanowić dokładną datę, do której jego płatności mają być realizowane przez dotychczasowy bank – </w:t>
      </w:r>
      <w:r w:rsidR="001841CD" w:rsidRPr="002741F1">
        <w:rPr>
          <w:rFonts w:ascii="Times New Roman" w:hAnsi="Times New Roman"/>
          <w:sz w:val="24"/>
          <w:szCs w:val="24"/>
          <w:lang w:eastAsia="pl-PL"/>
        </w:rPr>
        <w:t xml:space="preserve">bank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przekazujący i od której - przez nowy bank – </w:t>
      </w:r>
      <w:r w:rsidR="001841CD" w:rsidRPr="002741F1">
        <w:rPr>
          <w:rFonts w:ascii="Times New Roman" w:hAnsi="Times New Roman"/>
          <w:sz w:val="24"/>
          <w:szCs w:val="24"/>
          <w:lang w:eastAsia="pl-PL"/>
        </w:rPr>
        <w:t>bank przyjmujący</w:t>
      </w:r>
      <w:r w:rsidRPr="002741F1">
        <w:rPr>
          <w:rFonts w:ascii="Times New Roman" w:hAnsi="Times New Roman"/>
          <w:sz w:val="24"/>
          <w:szCs w:val="24"/>
          <w:lang w:eastAsia="pl-PL"/>
        </w:rPr>
        <w:t>.</w:t>
      </w:r>
    </w:p>
    <w:p w:rsidR="00BD1F20" w:rsidRPr="002741F1" w:rsidRDefault="00BD1F20" w:rsidP="002741F1">
      <w:pPr>
        <w:suppressAutoHyphens/>
        <w:spacing w:after="6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F20" w:rsidRPr="002741F1" w:rsidRDefault="00E738C6" w:rsidP="002741F1">
      <w:pPr>
        <w:pStyle w:val="Nagwek2"/>
        <w:spacing w:before="0" w:line="276" w:lineRule="auto"/>
        <w:rPr>
          <w:caps w:val="0"/>
          <w:sz w:val="24"/>
          <w:szCs w:val="24"/>
        </w:rPr>
      </w:pPr>
      <w:r w:rsidRPr="002741F1">
        <w:rPr>
          <w:sz w:val="24"/>
          <w:szCs w:val="24"/>
        </w:rPr>
        <w:tab/>
      </w:r>
      <w:r w:rsidR="00BD1F20" w:rsidRPr="002741F1">
        <w:rPr>
          <w:caps w:val="0"/>
          <w:sz w:val="24"/>
          <w:szCs w:val="24"/>
        </w:rPr>
        <w:t>Rozdział 3. Zasady związane z poinformowaniem Banku o otwarciu rachunku płatniczego w innym Państwie członkowskim</w:t>
      </w:r>
    </w:p>
    <w:p w:rsidR="00BD1F20" w:rsidRPr="002741F1" w:rsidRDefault="00BD1F20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r w:rsidRPr="002741F1">
        <w:rPr>
          <w:szCs w:val="24"/>
        </w:rPr>
        <w:t>§ 4.</w:t>
      </w:r>
    </w:p>
    <w:p w:rsidR="00A87FFE" w:rsidRPr="002741F1" w:rsidRDefault="00A87FFE" w:rsidP="002741F1">
      <w:pPr>
        <w:numPr>
          <w:ilvl w:val="0"/>
          <w:numId w:val="3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Klient ma prawo poinformować Bank w Placówce Banku o zamiarze otwarcia Rachunku płatniczego w banku prowadzącym działalność w innym Państwie członkowskim.</w:t>
      </w:r>
    </w:p>
    <w:p w:rsidR="00A87FFE" w:rsidRPr="002741F1" w:rsidRDefault="001841CD" w:rsidP="002741F1">
      <w:pPr>
        <w:numPr>
          <w:ilvl w:val="0"/>
          <w:numId w:val="3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Po </w:t>
      </w:r>
      <w:r w:rsidR="00A87FFE" w:rsidRPr="002741F1">
        <w:rPr>
          <w:rFonts w:ascii="Times New Roman" w:hAnsi="Times New Roman"/>
          <w:sz w:val="24"/>
          <w:szCs w:val="24"/>
          <w:lang w:eastAsia="pl-PL"/>
        </w:rPr>
        <w:t xml:space="preserve"> otrzymaniu informacji </w:t>
      </w:r>
      <w:r w:rsidRPr="002741F1">
        <w:rPr>
          <w:rFonts w:ascii="Times New Roman" w:hAnsi="Times New Roman"/>
          <w:sz w:val="24"/>
          <w:szCs w:val="24"/>
          <w:lang w:eastAsia="pl-PL"/>
        </w:rPr>
        <w:t>o której mowa w ust 1 powy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>ż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ej </w:t>
      </w:r>
      <w:r w:rsidR="00A87FFE" w:rsidRPr="002741F1">
        <w:rPr>
          <w:rFonts w:ascii="Times New Roman" w:hAnsi="Times New Roman"/>
          <w:sz w:val="24"/>
          <w:szCs w:val="24"/>
          <w:lang w:eastAsia="pl-PL"/>
        </w:rPr>
        <w:t>Placówka Banku wykon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uje </w:t>
      </w:r>
      <w:r w:rsidR="00A87FFE" w:rsidRPr="002741F1">
        <w:rPr>
          <w:rFonts w:ascii="Times New Roman" w:hAnsi="Times New Roman"/>
          <w:sz w:val="24"/>
          <w:szCs w:val="24"/>
          <w:lang w:eastAsia="pl-PL"/>
        </w:rPr>
        <w:t xml:space="preserve"> następujące czynności:</w:t>
      </w:r>
    </w:p>
    <w:p w:rsidR="00A87FFE" w:rsidRPr="002741F1" w:rsidRDefault="00A87FFE" w:rsidP="002741F1">
      <w:pPr>
        <w:numPr>
          <w:ilvl w:val="0"/>
          <w:numId w:val="16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Przekaże Klientowi nieodpłatnie wykaz istniejących zleceń stałych dotyczących poleceń przelewu oraz udzielonych zgodach na realizację poleceń zapłaty, o ile dane są dostępne w Banku;</w:t>
      </w:r>
    </w:p>
    <w:p w:rsidR="00A87FFE" w:rsidRPr="002741F1" w:rsidRDefault="00A87FFE" w:rsidP="002741F1">
      <w:pPr>
        <w:numPr>
          <w:ilvl w:val="0"/>
          <w:numId w:val="16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Przekaże </w:t>
      </w:r>
      <w:r w:rsidR="00194916" w:rsidRPr="002741F1">
        <w:rPr>
          <w:rFonts w:ascii="Times New Roman" w:hAnsi="Times New Roman"/>
          <w:sz w:val="24"/>
          <w:szCs w:val="24"/>
          <w:lang w:eastAsia="pl-PL"/>
        </w:rPr>
        <w:t xml:space="preserve">Klientowi nieodpłatnie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dostępne informacje o regularnie przychodzących poleceniach przelewu oraz zleconych przez wierzyciela poleceniach zapłaty zrealizowanych na Rachunek płatniczy Klienta 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 xml:space="preserve">w Banku </w:t>
      </w:r>
      <w:r w:rsidRPr="002741F1">
        <w:rPr>
          <w:rFonts w:ascii="Times New Roman" w:hAnsi="Times New Roman"/>
          <w:sz w:val="24"/>
          <w:szCs w:val="24"/>
          <w:lang w:eastAsia="pl-PL"/>
        </w:rPr>
        <w:t>w ciągu 13 miesięcy poprzedzających informację o zamiarze otwarcia rachunku płatniczego w banku prowadzącym działalność w innym Państwie członkowskim;</w:t>
      </w:r>
    </w:p>
    <w:p w:rsidR="00A87FFE" w:rsidRPr="002741F1" w:rsidRDefault="00A87FFE" w:rsidP="002741F1">
      <w:pPr>
        <w:numPr>
          <w:ilvl w:val="0"/>
          <w:numId w:val="16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Przekaże środki pieniężne pozostające na Rachunku płatniczym Klienta 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 xml:space="preserve">w Banku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na rachunek prowadzony przez inny bank w Państwie członkowskim, o ile Klient przekazał </w:t>
      </w:r>
      <w:r w:rsidR="00A01F56" w:rsidRPr="002741F1">
        <w:rPr>
          <w:rFonts w:ascii="Times New Roman" w:hAnsi="Times New Roman"/>
          <w:sz w:val="24"/>
          <w:szCs w:val="24"/>
        </w:rPr>
        <w:t>odpowiednie polecenie przelewu (Dyspozycję przekazu w obrocie dewizowym)</w:t>
      </w:r>
      <w:r w:rsidRPr="002741F1">
        <w:rPr>
          <w:rFonts w:ascii="Times New Roman" w:hAnsi="Times New Roman"/>
          <w:sz w:val="24"/>
          <w:szCs w:val="24"/>
          <w:lang w:eastAsia="pl-PL"/>
        </w:rPr>
        <w:t>umożliwiające identyfikację Klienta i jego rachunk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>u;</w:t>
      </w:r>
      <w:r w:rsidRPr="002741F1">
        <w:rPr>
          <w:rFonts w:ascii="Times New Roman" w:hAnsi="Times New Roman"/>
          <w:sz w:val="24"/>
          <w:szCs w:val="24"/>
          <w:lang w:eastAsia="pl-PL"/>
        </w:rPr>
        <w:t>;</w:t>
      </w:r>
    </w:p>
    <w:p w:rsidR="00A87FFE" w:rsidRPr="002741F1" w:rsidRDefault="00A87FFE" w:rsidP="002741F1">
      <w:pPr>
        <w:numPr>
          <w:ilvl w:val="0"/>
          <w:numId w:val="16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Zamknie Rachunek płatniczy 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 xml:space="preserve">w Banku </w:t>
      </w:r>
      <w:r w:rsidRPr="002741F1">
        <w:rPr>
          <w:rFonts w:ascii="Times New Roman" w:hAnsi="Times New Roman"/>
          <w:sz w:val="24"/>
          <w:szCs w:val="24"/>
          <w:lang w:eastAsia="pl-PL"/>
        </w:rPr>
        <w:t>zgodnie z obowiązującymi w Banku zasadami, o ile Klient złożył wymagany wniosek dotyczący rozwiązania umowy tego rachunku.</w:t>
      </w:r>
    </w:p>
    <w:p w:rsidR="00321BE2" w:rsidRPr="002741F1" w:rsidRDefault="00A87FFE" w:rsidP="002741F1">
      <w:pPr>
        <w:numPr>
          <w:ilvl w:val="0"/>
          <w:numId w:val="3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przypadku, gdy na 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 xml:space="preserve">Rachunku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płatniczym Klienta nie ma nieuregulowanych zobowiązań pracownik Placówki Banku zrealizuje czynności wymienione w ust. 1 </w:t>
      </w:r>
      <w:r w:rsidR="003F2B81">
        <w:rPr>
          <w:rFonts w:ascii="Times New Roman" w:hAnsi="Times New Roman"/>
          <w:sz w:val="24"/>
          <w:szCs w:val="24"/>
          <w:lang w:eastAsia="pl-PL"/>
        </w:rPr>
        <w:br/>
      </w:r>
      <w:r w:rsidRPr="002741F1">
        <w:rPr>
          <w:rFonts w:ascii="Times New Roman" w:hAnsi="Times New Roman"/>
          <w:sz w:val="24"/>
          <w:szCs w:val="24"/>
          <w:lang w:eastAsia="pl-PL"/>
        </w:rPr>
        <w:t>w dniu wskazanym przez Klienta, nie wcześniej jednak niż po upływie 6 dni roboczych od dnia otrzymania informacji od Klienta.</w:t>
      </w:r>
      <w:r w:rsidR="00321BE2" w:rsidRPr="002741F1">
        <w:rPr>
          <w:rFonts w:ascii="Times New Roman" w:hAnsi="Times New Roman"/>
          <w:sz w:val="24"/>
          <w:szCs w:val="24"/>
          <w:lang w:eastAsia="pl-PL"/>
        </w:rPr>
        <w:t xml:space="preserve"> Informacje do Klienta wysyłane są przez pracownika placówki Banku na adres korespondencyjny Klienta.</w:t>
      </w:r>
    </w:p>
    <w:p w:rsidR="00A87FFE" w:rsidRPr="002741F1" w:rsidRDefault="00A87FFE" w:rsidP="002741F1">
      <w:pPr>
        <w:numPr>
          <w:ilvl w:val="0"/>
          <w:numId w:val="3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 występowania na </w:t>
      </w:r>
      <w:r w:rsidR="007E34BC" w:rsidRPr="002741F1">
        <w:rPr>
          <w:rFonts w:ascii="Times New Roman" w:hAnsi="Times New Roman"/>
          <w:sz w:val="24"/>
          <w:szCs w:val="24"/>
          <w:lang w:eastAsia="pl-PL"/>
        </w:rPr>
        <w:t xml:space="preserve">Rachunku </w:t>
      </w:r>
      <w:r w:rsidRPr="002741F1">
        <w:rPr>
          <w:rFonts w:ascii="Times New Roman" w:hAnsi="Times New Roman"/>
          <w:sz w:val="24"/>
          <w:szCs w:val="24"/>
          <w:lang w:eastAsia="pl-PL"/>
        </w:rPr>
        <w:t>płatniczym nieuregulowanych zobowiązań pracownik Placówki Banku niezwłocznie informuje Klienta o tych przesłankach.</w:t>
      </w:r>
    </w:p>
    <w:p w:rsidR="001E3F87" w:rsidRPr="002741F1" w:rsidRDefault="001E3F87" w:rsidP="002741F1">
      <w:pPr>
        <w:suppressAutoHyphens/>
        <w:spacing w:after="6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F87" w:rsidRPr="002741F1" w:rsidRDefault="001E3F87" w:rsidP="002741F1">
      <w:pPr>
        <w:pStyle w:val="Nagwek2"/>
        <w:spacing w:before="0" w:line="276" w:lineRule="auto"/>
        <w:rPr>
          <w:caps w:val="0"/>
          <w:sz w:val="24"/>
          <w:szCs w:val="24"/>
        </w:rPr>
      </w:pPr>
      <w:r w:rsidRPr="002741F1">
        <w:rPr>
          <w:caps w:val="0"/>
          <w:sz w:val="24"/>
          <w:szCs w:val="24"/>
        </w:rPr>
        <w:t>Rozdział 4. Przesłanki uniemożliwiające zamknięcie przenoszonego Rachunku płatniczego</w:t>
      </w:r>
    </w:p>
    <w:p w:rsidR="001E3F87" w:rsidRPr="002741F1" w:rsidRDefault="001E3F87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bookmarkStart w:id="0" w:name="_GoBack"/>
      <w:bookmarkEnd w:id="0"/>
      <w:r w:rsidRPr="002741F1">
        <w:rPr>
          <w:szCs w:val="24"/>
        </w:rPr>
        <w:t>§ 5.</w:t>
      </w:r>
    </w:p>
    <w:p w:rsidR="00A87FFE" w:rsidRPr="002741F1" w:rsidRDefault="00A87FFE" w:rsidP="002741F1">
      <w:pPr>
        <w:pStyle w:val="Akapitzlist"/>
        <w:numPr>
          <w:ilvl w:val="0"/>
          <w:numId w:val="6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Przesłankami uniemożliwiającymi zamkniecie rachunku są: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Blokada środków z tytułu nierozliczonej transakcji płatniczej na rachunku płatniczym;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Rachunek płatniczy służy do dokonywania spłaty kredytów, w tym udzielonych </w:t>
      </w:r>
      <w:r w:rsidR="003F2B81">
        <w:rPr>
          <w:rFonts w:ascii="Times New Roman" w:hAnsi="Times New Roman"/>
          <w:sz w:val="24"/>
          <w:szCs w:val="24"/>
          <w:lang w:eastAsia="pl-PL"/>
        </w:rPr>
        <w:br/>
      </w:r>
      <w:r w:rsidRPr="002741F1">
        <w:rPr>
          <w:rFonts w:ascii="Times New Roman" w:hAnsi="Times New Roman"/>
          <w:sz w:val="24"/>
          <w:szCs w:val="24"/>
          <w:lang w:eastAsia="pl-PL"/>
        </w:rPr>
        <w:t>z wykorzystaniem kart kredytowych;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Dokonanie zajęcia środków w toku post</w:t>
      </w:r>
      <w:r w:rsidR="00DD25A5" w:rsidRPr="002741F1">
        <w:rPr>
          <w:rFonts w:ascii="Times New Roman" w:hAnsi="Times New Roman"/>
          <w:sz w:val="24"/>
          <w:szCs w:val="24"/>
          <w:lang w:eastAsia="pl-PL"/>
        </w:rPr>
        <w:t>ę</w:t>
      </w:r>
      <w:r w:rsidRPr="002741F1">
        <w:rPr>
          <w:rFonts w:ascii="Times New Roman" w:hAnsi="Times New Roman"/>
          <w:sz w:val="24"/>
          <w:szCs w:val="24"/>
          <w:lang w:eastAsia="pl-PL"/>
        </w:rPr>
        <w:t>powania egzekucyjnego lub zabezpieczającego;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Blokady środków na rachunku;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Ustanowienie kaucji środków na poczet zobowiązań Klienta wobec innego banku;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Saldo zerowe i zaległe opłaty, w przypadku, gdy Bank na danym rachunku uniemożliwia przekroczeni</w:t>
      </w:r>
      <w:r w:rsidR="00DD25A5" w:rsidRPr="002741F1">
        <w:rPr>
          <w:rFonts w:ascii="Times New Roman" w:hAnsi="Times New Roman"/>
          <w:sz w:val="24"/>
          <w:szCs w:val="24"/>
          <w:lang w:eastAsia="pl-PL"/>
        </w:rPr>
        <w:t>e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salda rachunku, a opłaty są naliczone i nie zostały pobrane;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Saldo ujemne rachunku płatniczego;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Otwarta akredytywa, otwarte inkaso dokumentowe lub inkaso czeków w obrocie krajowym lub dewizowym;</w:t>
      </w:r>
    </w:p>
    <w:p w:rsidR="00A87FFE" w:rsidRPr="002741F1" w:rsidRDefault="00A87FFE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Prowadzenie dla Klienta wobec którego zostało wydane post</w:t>
      </w:r>
      <w:r w:rsidR="00622D7A" w:rsidRPr="002741F1">
        <w:rPr>
          <w:rFonts w:ascii="Times New Roman" w:hAnsi="Times New Roman"/>
          <w:sz w:val="24"/>
          <w:szCs w:val="24"/>
          <w:lang w:eastAsia="pl-PL"/>
        </w:rPr>
        <w:t>anowienie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F2B81">
        <w:rPr>
          <w:rFonts w:ascii="Times New Roman" w:hAnsi="Times New Roman"/>
          <w:sz w:val="24"/>
          <w:szCs w:val="24"/>
          <w:lang w:eastAsia="pl-PL"/>
        </w:rPr>
        <w:br/>
      </w:r>
      <w:r w:rsidRPr="002741F1">
        <w:rPr>
          <w:rFonts w:ascii="Times New Roman" w:hAnsi="Times New Roman"/>
          <w:sz w:val="24"/>
          <w:szCs w:val="24"/>
          <w:lang w:eastAsia="pl-PL"/>
        </w:rPr>
        <w:t>o ogłoszeniu przez niego upadłości lub który złożył wniosek o ogłoszenie upadłości.</w:t>
      </w:r>
    </w:p>
    <w:p w:rsidR="0072410C" w:rsidRPr="002741F1" w:rsidRDefault="0072410C" w:rsidP="002741F1">
      <w:pPr>
        <w:numPr>
          <w:ilvl w:val="0"/>
          <w:numId w:val="14"/>
        </w:numPr>
        <w:suppressAutoHyphens/>
        <w:spacing w:after="6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lastRenderedPageBreak/>
        <w:t>Powiązanie z członkostwem u dostawcy prowadzącego taki rachunek.</w:t>
      </w:r>
    </w:p>
    <w:p w:rsidR="007709AE" w:rsidRPr="002741F1" w:rsidRDefault="007709AE" w:rsidP="002741F1">
      <w:pPr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09AE" w:rsidRPr="002741F1" w:rsidRDefault="007709AE" w:rsidP="002741F1">
      <w:pPr>
        <w:pStyle w:val="Nagwek2"/>
        <w:spacing w:before="0" w:line="276" w:lineRule="auto"/>
        <w:rPr>
          <w:caps w:val="0"/>
          <w:sz w:val="24"/>
          <w:szCs w:val="24"/>
        </w:rPr>
      </w:pPr>
      <w:r w:rsidRPr="002741F1">
        <w:rPr>
          <w:caps w:val="0"/>
          <w:sz w:val="24"/>
          <w:szCs w:val="24"/>
        </w:rPr>
        <w:t>Rozdział 5. Opłaty</w:t>
      </w:r>
    </w:p>
    <w:p w:rsidR="007709AE" w:rsidRPr="002741F1" w:rsidRDefault="007709AE" w:rsidP="002741F1">
      <w:pPr>
        <w:pStyle w:val="Paragraf"/>
        <w:tabs>
          <w:tab w:val="num" w:pos="4253"/>
        </w:tabs>
        <w:spacing w:before="0" w:after="60" w:line="276" w:lineRule="auto"/>
        <w:ind w:left="4253"/>
        <w:jc w:val="left"/>
        <w:rPr>
          <w:szCs w:val="24"/>
        </w:rPr>
      </w:pPr>
      <w:r w:rsidRPr="002741F1">
        <w:rPr>
          <w:szCs w:val="24"/>
        </w:rPr>
        <w:t>§ 6.</w:t>
      </w:r>
    </w:p>
    <w:p w:rsidR="007709AE" w:rsidRPr="002741F1" w:rsidRDefault="007709AE" w:rsidP="002741F1">
      <w:pPr>
        <w:numPr>
          <w:ilvl w:val="0"/>
          <w:numId w:val="8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Bank nie pobiera od Klienta wnioskującego o przeniesienie rachunku lub Usług płatniczych powiązanych z jego </w:t>
      </w:r>
      <w:r w:rsidR="0018053E" w:rsidRPr="002741F1">
        <w:rPr>
          <w:rFonts w:ascii="Times New Roman" w:hAnsi="Times New Roman"/>
          <w:sz w:val="24"/>
          <w:szCs w:val="24"/>
          <w:lang w:eastAsia="pl-PL"/>
        </w:rPr>
        <w:t xml:space="preserve">Dotychczasowym rachunkiem </w:t>
      </w:r>
      <w:r w:rsidRPr="002741F1">
        <w:rPr>
          <w:rFonts w:ascii="Times New Roman" w:hAnsi="Times New Roman"/>
          <w:sz w:val="24"/>
          <w:szCs w:val="24"/>
          <w:lang w:eastAsia="pl-PL"/>
        </w:rPr>
        <w:t>opłat za udzielanie w związku z procesem przeniesienia standardowych informacji na temat stałych płatności tego Klienta.</w:t>
      </w:r>
    </w:p>
    <w:p w:rsidR="007709AE" w:rsidRPr="002741F1" w:rsidRDefault="007709AE" w:rsidP="002741F1">
      <w:pPr>
        <w:numPr>
          <w:ilvl w:val="0"/>
          <w:numId w:val="8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Klient nie będzie obciążany przez Bank żadnymi opłatami wynikającymi z błędów popełnionych przez Bank w procesie przeniesienia rachunku.</w:t>
      </w:r>
    </w:p>
    <w:p w:rsidR="007709AE" w:rsidRPr="002741F1" w:rsidRDefault="007709AE" w:rsidP="002741F1">
      <w:pPr>
        <w:numPr>
          <w:ilvl w:val="0"/>
          <w:numId w:val="8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Za wykonanie czynności bankowych innych niż związanych z przeniesieniem rachunku Bank pobiera prowizje i opłaty określone w “Ta</w:t>
      </w:r>
      <w:r w:rsidR="00EF4175" w:rsidRPr="002741F1">
        <w:rPr>
          <w:rFonts w:ascii="Times New Roman" w:hAnsi="Times New Roman"/>
          <w:sz w:val="24"/>
          <w:szCs w:val="24"/>
          <w:lang w:eastAsia="pl-PL"/>
        </w:rPr>
        <w:t>bela prowizji i opłat za czynności bankowe w walucie krajowej pobieranych przez Bank Spółdzielczy w Miedźnej (</w:t>
      </w:r>
      <w:r w:rsidRPr="002741F1">
        <w:rPr>
          <w:rFonts w:ascii="Times New Roman" w:hAnsi="Times New Roman"/>
          <w:sz w:val="24"/>
          <w:szCs w:val="24"/>
          <w:lang w:eastAsia="pl-PL"/>
        </w:rPr>
        <w:t>klientów indywidualnych</w:t>
      </w:r>
      <w:r w:rsidR="00EF4175" w:rsidRPr="002741F1">
        <w:rPr>
          <w:rFonts w:ascii="Times New Roman" w:hAnsi="Times New Roman"/>
          <w:sz w:val="24"/>
          <w:szCs w:val="24"/>
          <w:lang w:eastAsia="pl-PL"/>
        </w:rPr>
        <w:t>)</w:t>
      </w:r>
      <w:r w:rsidRPr="002741F1">
        <w:rPr>
          <w:rFonts w:ascii="Times New Roman" w:hAnsi="Times New Roman"/>
          <w:sz w:val="24"/>
          <w:szCs w:val="24"/>
          <w:lang w:eastAsia="pl-PL"/>
        </w:rPr>
        <w:t>”.</w:t>
      </w:r>
    </w:p>
    <w:p w:rsidR="007709AE" w:rsidRPr="002741F1" w:rsidRDefault="007709AE" w:rsidP="002741F1">
      <w:pPr>
        <w:numPr>
          <w:ilvl w:val="0"/>
          <w:numId w:val="8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Aktualna taryfa opłat i prowizji dostępna jest w </w:t>
      </w:r>
      <w:r w:rsidR="0018053E" w:rsidRPr="002741F1">
        <w:rPr>
          <w:rFonts w:ascii="Times New Roman" w:hAnsi="Times New Roman"/>
          <w:sz w:val="24"/>
          <w:szCs w:val="24"/>
          <w:lang w:eastAsia="pl-PL"/>
        </w:rPr>
        <w:t xml:space="preserve">Placówkach </w:t>
      </w:r>
      <w:r w:rsidRPr="002741F1">
        <w:rPr>
          <w:rFonts w:ascii="Times New Roman" w:hAnsi="Times New Roman"/>
          <w:sz w:val="24"/>
          <w:szCs w:val="24"/>
          <w:lang w:eastAsia="pl-PL"/>
        </w:rPr>
        <w:t>Banku i na stronie internetowej Banku (</w:t>
      </w:r>
      <w:hyperlink r:id="rId10" w:history="1">
        <w:r w:rsidR="003F2B81" w:rsidRPr="002741F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www.bsmiedzna.pl</w:t>
        </w:r>
      </w:hyperlink>
      <w:r w:rsidRPr="002741F1">
        <w:rPr>
          <w:rFonts w:ascii="Times New Roman" w:hAnsi="Times New Roman"/>
          <w:sz w:val="24"/>
          <w:szCs w:val="24"/>
          <w:lang w:eastAsia="pl-PL"/>
        </w:rPr>
        <w:t>).</w:t>
      </w:r>
    </w:p>
    <w:p w:rsidR="00A87FFE" w:rsidRDefault="007709AE" w:rsidP="002741F1">
      <w:pPr>
        <w:numPr>
          <w:ilvl w:val="0"/>
          <w:numId w:val="8"/>
        </w:numPr>
        <w:tabs>
          <w:tab w:val="clear" w:pos="113"/>
          <w:tab w:val="num" w:pos="567"/>
        </w:tabs>
        <w:suppressAutoHyphens/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 xml:space="preserve">Klient zobowiązany jest zapewnić środki na Rachunku płatniczym </w:t>
      </w:r>
      <w:r w:rsidR="0018053E" w:rsidRPr="002741F1">
        <w:rPr>
          <w:rFonts w:ascii="Times New Roman" w:hAnsi="Times New Roman"/>
          <w:sz w:val="24"/>
          <w:szCs w:val="24"/>
          <w:lang w:eastAsia="pl-PL"/>
        </w:rPr>
        <w:t xml:space="preserve">w Banku </w:t>
      </w:r>
      <w:r w:rsidR="003F2B81">
        <w:rPr>
          <w:rFonts w:ascii="Times New Roman" w:hAnsi="Times New Roman"/>
          <w:sz w:val="24"/>
          <w:szCs w:val="24"/>
          <w:lang w:eastAsia="pl-PL"/>
        </w:rPr>
        <w:br/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w przypadku pobrania opłaty lub prowizji za czynności inne niż związane </w:t>
      </w:r>
      <w:r w:rsidR="003F2B81">
        <w:rPr>
          <w:rFonts w:ascii="Times New Roman" w:hAnsi="Times New Roman"/>
          <w:sz w:val="24"/>
          <w:szCs w:val="24"/>
          <w:lang w:eastAsia="pl-PL"/>
        </w:rPr>
        <w:br/>
      </w:r>
      <w:r w:rsidRPr="002741F1">
        <w:rPr>
          <w:rFonts w:ascii="Times New Roman" w:hAnsi="Times New Roman"/>
          <w:sz w:val="24"/>
          <w:szCs w:val="24"/>
          <w:lang w:eastAsia="pl-PL"/>
        </w:rPr>
        <w:t>z przeniesieniem Rachunku płatniczego.</w:t>
      </w:r>
    </w:p>
    <w:p w:rsidR="003F2B81" w:rsidRPr="002741F1" w:rsidRDefault="003F2B81" w:rsidP="003F2B81">
      <w:pPr>
        <w:suppressAutoHyphens/>
        <w:spacing w:after="6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3EB4" w:rsidRPr="002741F1" w:rsidRDefault="00233EB4" w:rsidP="002741F1">
      <w:pPr>
        <w:pStyle w:val="Nagwek2"/>
        <w:spacing w:before="0" w:line="276" w:lineRule="auto"/>
        <w:ind w:left="284"/>
        <w:rPr>
          <w:caps w:val="0"/>
          <w:sz w:val="24"/>
          <w:szCs w:val="24"/>
        </w:rPr>
      </w:pPr>
      <w:r w:rsidRPr="002741F1">
        <w:rPr>
          <w:caps w:val="0"/>
          <w:sz w:val="24"/>
          <w:szCs w:val="24"/>
        </w:rPr>
        <w:t xml:space="preserve">Rozdział 6. </w:t>
      </w:r>
      <w:r w:rsidR="006A7F5E" w:rsidRPr="002741F1">
        <w:rPr>
          <w:caps w:val="0"/>
          <w:sz w:val="24"/>
          <w:szCs w:val="24"/>
        </w:rPr>
        <w:t>Post</w:t>
      </w:r>
      <w:r w:rsidR="00CF22FB" w:rsidRPr="002741F1">
        <w:rPr>
          <w:caps w:val="0"/>
          <w:sz w:val="24"/>
          <w:szCs w:val="24"/>
        </w:rPr>
        <w:t>anowienia końcowe</w:t>
      </w:r>
    </w:p>
    <w:p w:rsidR="00233EB4" w:rsidRPr="002741F1" w:rsidRDefault="00233EB4" w:rsidP="002741F1">
      <w:pPr>
        <w:pStyle w:val="Paragraf"/>
        <w:spacing w:before="0" w:after="60" w:line="276" w:lineRule="auto"/>
        <w:ind w:left="284"/>
        <w:rPr>
          <w:szCs w:val="24"/>
        </w:rPr>
      </w:pPr>
      <w:r w:rsidRPr="002741F1">
        <w:rPr>
          <w:szCs w:val="24"/>
        </w:rPr>
        <w:t>§ 7.</w:t>
      </w:r>
    </w:p>
    <w:p w:rsidR="00E738C6" w:rsidRPr="002741F1" w:rsidRDefault="00CF22FB" w:rsidP="002741F1">
      <w:pPr>
        <w:pStyle w:val="Akapitzlist"/>
        <w:numPr>
          <w:ilvl w:val="0"/>
          <w:numId w:val="15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W przypadku przenoszenia rachunków do lub z Banku</w:t>
      </w:r>
      <w:r w:rsidR="00F51F7D" w:rsidRPr="002741F1">
        <w:rPr>
          <w:rFonts w:ascii="Times New Roman" w:hAnsi="Times New Roman"/>
          <w:sz w:val="24"/>
          <w:szCs w:val="24"/>
          <w:lang w:eastAsia="pl-PL"/>
        </w:rPr>
        <w:t>,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Klienta obowiązują postanowienia dotyczące pozasądowych rozwiązań sporów zawarte w </w:t>
      </w:r>
      <w:r w:rsidR="00A550C4" w:rsidRPr="00BC6DDD">
        <w:rPr>
          <w:rFonts w:ascii="Times New Roman" w:hAnsi="Times New Roman"/>
          <w:sz w:val="24"/>
          <w:szCs w:val="24"/>
          <w:lang w:eastAsia="pl-PL"/>
        </w:rPr>
        <w:t xml:space="preserve">Rozdziale </w:t>
      </w:r>
      <w:r w:rsidR="00D25138" w:rsidRPr="00BC6DDD">
        <w:rPr>
          <w:rFonts w:ascii="Times New Roman" w:hAnsi="Times New Roman"/>
          <w:sz w:val="24"/>
          <w:szCs w:val="24"/>
          <w:lang w:eastAsia="pl-PL"/>
        </w:rPr>
        <w:t>21</w:t>
      </w:r>
      <w:r w:rsidR="00A550C4" w:rsidRPr="00BC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741F1">
        <w:rPr>
          <w:rFonts w:ascii="Times New Roman" w:hAnsi="Times New Roman"/>
          <w:sz w:val="24"/>
          <w:szCs w:val="24"/>
          <w:lang w:eastAsia="pl-PL"/>
        </w:rPr>
        <w:t>Regulamin</w:t>
      </w:r>
      <w:r w:rsidR="00A550C4" w:rsidRPr="002741F1">
        <w:rPr>
          <w:rFonts w:ascii="Times New Roman" w:hAnsi="Times New Roman"/>
          <w:sz w:val="24"/>
          <w:szCs w:val="24"/>
          <w:lang w:eastAsia="pl-PL"/>
        </w:rPr>
        <w:t>u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 otwierania i prowadzenia rachunków </w:t>
      </w:r>
      <w:r w:rsidR="00EF4175" w:rsidRPr="002741F1">
        <w:rPr>
          <w:rFonts w:ascii="Times New Roman" w:hAnsi="Times New Roman"/>
          <w:sz w:val="24"/>
          <w:szCs w:val="24"/>
          <w:lang w:eastAsia="pl-PL"/>
        </w:rPr>
        <w:t xml:space="preserve">oszczędnościowo-rozliczeniowych oraz rachunków oszczędnościowych </w:t>
      </w:r>
      <w:r w:rsidRPr="002741F1">
        <w:rPr>
          <w:rFonts w:ascii="Times New Roman" w:hAnsi="Times New Roman"/>
          <w:sz w:val="24"/>
          <w:szCs w:val="24"/>
          <w:lang w:eastAsia="pl-PL"/>
        </w:rPr>
        <w:t xml:space="preserve">osób fizycznych obowiązującym w Banku </w:t>
      </w:r>
      <w:r w:rsidR="00EF4175" w:rsidRPr="002741F1">
        <w:rPr>
          <w:rFonts w:ascii="Times New Roman" w:hAnsi="Times New Roman"/>
          <w:sz w:val="24"/>
          <w:szCs w:val="24"/>
          <w:lang w:eastAsia="pl-PL"/>
        </w:rPr>
        <w:t>Spółdzielczym w Miedźnej.</w:t>
      </w:r>
    </w:p>
    <w:p w:rsidR="00CF22FB" w:rsidRPr="002741F1" w:rsidRDefault="00CF22FB" w:rsidP="002741F1">
      <w:pPr>
        <w:pStyle w:val="Akapitzlist"/>
        <w:numPr>
          <w:ilvl w:val="0"/>
          <w:numId w:val="15"/>
        </w:numPr>
        <w:suppressAutoHyphens/>
        <w:spacing w:after="60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41F1">
        <w:rPr>
          <w:rFonts w:ascii="Times New Roman" w:hAnsi="Times New Roman"/>
          <w:sz w:val="24"/>
          <w:szCs w:val="24"/>
          <w:lang w:eastAsia="pl-PL"/>
        </w:rPr>
        <w:t>Regulamin o którym mowa w ust 1 powyżej dostępny jest na stronie internetowej Banku (</w:t>
      </w:r>
      <w:hyperlink r:id="rId11" w:history="1">
        <w:r w:rsidR="00BA5644" w:rsidRPr="002741F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www.bsmiedzna.pl</w:t>
        </w:r>
      </w:hyperlink>
      <w:r w:rsidRPr="002741F1">
        <w:rPr>
          <w:rFonts w:ascii="Times New Roman" w:hAnsi="Times New Roman"/>
          <w:sz w:val="24"/>
          <w:szCs w:val="24"/>
          <w:lang w:eastAsia="pl-PL"/>
        </w:rPr>
        <w:t>) oraz w każdej Placówce Banku.</w:t>
      </w:r>
    </w:p>
    <w:sectPr w:rsidR="00CF22FB" w:rsidRPr="0027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A9" w:rsidRDefault="003C5EA9" w:rsidP="005B1E3C">
      <w:pPr>
        <w:spacing w:after="0" w:line="240" w:lineRule="auto"/>
      </w:pPr>
      <w:r>
        <w:separator/>
      </w:r>
    </w:p>
  </w:endnote>
  <w:endnote w:type="continuationSeparator" w:id="0">
    <w:p w:rsidR="003C5EA9" w:rsidRDefault="003C5EA9" w:rsidP="005B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A9" w:rsidRDefault="003C5EA9" w:rsidP="005B1E3C">
      <w:pPr>
        <w:spacing w:after="0" w:line="240" w:lineRule="auto"/>
      </w:pPr>
      <w:r>
        <w:separator/>
      </w:r>
    </w:p>
  </w:footnote>
  <w:footnote w:type="continuationSeparator" w:id="0">
    <w:p w:rsidR="003C5EA9" w:rsidRDefault="003C5EA9" w:rsidP="005B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F2A"/>
    <w:multiLevelType w:val="hybridMultilevel"/>
    <w:tmpl w:val="24D67086"/>
    <w:lvl w:ilvl="0" w:tplc="67580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747A0"/>
    <w:multiLevelType w:val="singleLevel"/>
    <w:tmpl w:val="7C36B5C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B7718B4"/>
    <w:multiLevelType w:val="hybridMultilevel"/>
    <w:tmpl w:val="F11EB8C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17204C0"/>
    <w:multiLevelType w:val="hybridMultilevel"/>
    <w:tmpl w:val="CE726A52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1389210E"/>
    <w:multiLevelType w:val="hybridMultilevel"/>
    <w:tmpl w:val="1BCE091C"/>
    <w:lvl w:ilvl="0" w:tplc="0415001B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53A7D"/>
    <w:multiLevelType w:val="hybridMultilevel"/>
    <w:tmpl w:val="4418C6D0"/>
    <w:lvl w:ilvl="0" w:tplc="6EF2B2A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B83233F"/>
    <w:multiLevelType w:val="hybridMultilevel"/>
    <w:tmpl w:val="A4BE7B08"/>
    <w:name w:val="WW8Num722"/>
    <w:lvl w:ilvl="0" w:tplc="79726B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C61036"/>
    <w:multiLevelType w:val="hybridMultilevel"/>
    <w:tmpl w:val="31F4EDA0"/>
    <w:lvl w:ilvl="0" w:tplc="079C58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7B5"/>
    <w:multiLevelType w:val="hybridMultilevel"/>
    <w:tmpl w:val="597A2D04"/>
    <w:name w:val="WW8Num72"/>
    <w:lvl w:ilvl="0" w:tplc="79726B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52DC11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5B504C"/>
    <w:multiLevelType w:val="hybridMultilevel"/>
    <w:tmpl w:val="849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CF3767"/>
    <w:multiLevelType w:val="hybridMultilevel"/>
    <w:tmpl w:val="53263D4C"/>
    <w:lvl w:ilvl="0" w:tplc="079C58D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51037"/>
    <w:multiLevelType w:val="hybridMultilevel"/>
    <w:tmpl w:val="FB602FBE"/>
    <w:lvl w:ilvl="0" w:tplc="79726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565000"/>
    <w:multiLevelType w:val="hybridMultilevel"/>
    <w:tmpl w:val="FC723E5E"/>
    <w:lvl w:ilvl="0" w:tplc="9C5AC1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737C249F"/>
    <w:multiLevelType w:val="hybridMultilevel"/>
    <w:tmpl w:val="814CB66A"/>
    <w:lvl w:ilvl="0" w:tplc="7AC66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7F0AAC"/>
    <w:multiLevelType w:val="hybridMultilevel"/>
    <w:tmpl w:val="75281AF0"/>
    <w:lvl w:ilvl="0" w:tplc="DD9A0D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E46F2B"/>
    <w:multiLevelType w:val="hybridMultilevel"/>
    <w:tmpl w:val="1BCE091C"/>
    <w:name w:val="WW8Num132"/>
    <w:lvl w:ilvl="0" w:tplc="0415001B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C6"/>
    <w:rsid w:val="00061DD3"/>
    <w:rsid w:val="000A4C5C"/>
    <w:rsid w:val="000F3E99"/>
    <w:rsid w:val="00125A28"/>
    <w:rsid w:val="00162B33"/>
    <w:rsid w:val="0018053E"/>
    <w:rsid w:val="001841CD"/>
    <w:rsid w:val="00194916"/>
    <w:rsid w:val="001B7255"/>
    <w:rsid w:val="001D40E4"/>
    <w:rsid w:val="001E3F87"/>
    <w:rsid w:val="001F1DF3"/>
    <w:rsid w:val="002132ED"/>
    <w:rsid w:val="00233EB4"/>
    <w:rsid w:val="002741F1"/>
    <w:rsid w:val="00274491"/>
    <w:rsid w:val="00294D57"/>
    <w:rsid w:val="002E446C"/>
    <w:rsid w:val="00321BE2"/>
    <w:rsid w:val="00331E84"/>
    <w:rsid w:val="00346812"/>
    <w:rsid w:val="003919D9"/>
    <w:rsid w:val="003A08F0"/>
    <w:rsid w:val="003A1170"/>
    <w:rsid w:val="003B78C2"/>
    <w:rsid w:val="003C17E7"/>
    <w:rsid w:val="003C5EA9"/>
    <w:rsid w:val="003F2B81"/>
    <w:rsid w:val="004409F0"/>
    <w:rsid w:val="0045450F"/>
    <w:rsid w:val="004621DF"/>
    <w:rsid w:val="004643A4"/>
    <w:rsid w:val="005040CC"/>
    <w:rsid w:val="00522EF3"/>
    <w:rsid w:val="00524427"/>
    <w:rsid w:val="005B059F"/>
    <w:rsid w:val="005B19E1"/>
    <w:rsid w:val="005B1E3C"/>
    <w:rsid w:val="00615EA0"/>
    <w:rsid w:val="00622D7A"/>
    <w:rsid w:val="006235AE"/>
    <w:rsid w:val="00627485"/>
    <w:rsid w:val="0065372D"/>
    <w:rsid w:val="006804A7"/>
    <w:rsid w:val="0068193F"/>
    <w:rsid w:val="006A4832"/>
    <w:rsid w:val="006A7F5E"/>
    <w:rsid w:val="006B2EBC"/>
    <w:rsid w:val="006B376A"/>
    <w:rsid w:val="0072410C"/>
    <w:rsid w:val="00725F6A"/>
    <w:rsid w:val="007341D1"/>
    <w:rsid w:val="00760B7F"/>
    <w:rsid w:val="007709AE"/>
    <w:rsid w:val="00783E8A"/>
    <w:rsid w:val="0079023D"/>
    <w:rsid w:val="007D3307"/>
    <w:rsid w:val="007D47C3"/>
    <w:rsid w:val="007E34BC"/>
    <w:rsid w:val="00857450"/>
    <w:rsid w:val="00861605"/>
    <w:rsid w:val="008722F4"/>
    <w:rsid w:val="00882AB9"/>
    <w:rsid w:val="00893E81"/>
    <w:rsid w:val="008A3624"/>
    <w:rsid w:val="008B6F30"/>
    <w:rsid w:val="009014A9"/>
    <w:rsid w:val="00940304"/>
    <w:rsid w:val="00961146"/>
    <w:rsid w:val="009B7820"/>
    <w:rsid w:val="009D77B2"/>
    <w:rsid w:val="009F0F97"/>
    <w:rsid w:val="00A01F56"/>
    <w:rsid w:val="00A02A8C"/>
    <w:rsid w:val="00A156C9"/>
    <w:rsid w:val="00A20652"/>
    <w:rsid w:val="00A37C63"/>
    <w:rsid w:val="00A550C4"/>
    <w:rsid w:val="00A65BA6"/>
    <w:rsid w:val="00A87FFE"/>
    <w:rsid w:val="00AD1611"/>
    <w:rsid w:val="00AE65D3"/>
    <w:rsid w:val="00AF4304"/>
    <w:rsid w:val="00B04F2A"/>
    <w:rsid w:val="00B122ED"/>
    <w:rsid w:val="00B178A6"/>
    <w:rsid w:val="00B35C0D"/>
    <w:rsid w:val="00B431E9"/>
    <w:rsid w:val="00B446D2"/>
    <w:rsid w:val="00B45340"/>
    <w:rsid w:val="00B636FC"/>
    <w:rsid w:val="00B82EE3"/>
    <w:rsid w:val="00BA5644"/>
    <w:rsid w:val="00BC6DDD"/>
    <w:rsid w:val="00BD1F20"/>
    <w:rsid w:val="00BE6806"/>
    <w:rsid w:val="00C2563E"/>
    <w:rsid w:val="00C35C09"/>
    <w:rsid w:val="00C37A18"/>
    <w:rsid w:val="00C44422"/>
    <w:rsid w:val="00C52897"/>
    <w:rsid w:val="00C731B1"/>
    <w:rsid w:val="00CD5A34"/>
    <w:rsid w:val="00CF22FB"/>
    <w:rsid w:val="00D01203"/>
    <w:rsid w:val="00D25138"/>
    <w:rsid w:val="00D30996"/>
    <w:rsid w:val="00D33271"/>
    <w:rsid w:val="00D75457"/>
    <w:rsid w:val="00D97732"/>
    <w:rsid w:val="00DD06BE"/>
    <w:rsid w:val="00DD25A5"/>
    <w:rsid w:val="00DD523D"/>
    <w:rsid w:val="00E05504"/>
    <w:rsid w:val="00E6188D"/>
    <w:rsid w:val="00E7315D"/>
    <w:rsid w:val="00E738C6"/>
    <w:rsid w:val="00E74265"/>
    <w:rsid w:val="00EF4175"/>
    <w:rsid w:val="00F51F7D"/>
    <w:rsid w:val="00F939F9"/>
    <w:rsid w:val="00FA48F8"/>
    <w:rsid w:val="00FB2DE7"/>
    <w:rsid w:val="00FC6144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ACD5"/>
  <w14:defaultImageDpi w14:val="0"/>
  <w15:docId w15:val="{B70D31EA-220B-4407-A4C4-37A86D9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8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6812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cap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738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46812"/>
    <w:rPr>
      <w:rFonts w:ascii="Times New Roman" w:hAnsi="Times New Roman" w:cs="Times New Roman"/>
      <w:b/>
      <w:bCs/>
      <w:iCs/>
      <w:caps/>
      <w:sz w:val="28"/>
      <w:szCs w:val="28"/>
      <w:lang w:val="x-none" w:eastAsia="pl-PL"/>
    </w:rPr>
  </w:style>
  <w:style w:type="paragraph" w:customStyle="1" w:styleId="Paragraf">
    <w:name w:val="Paragraf"/>
    <w:basedOn w:val="Normalny"/>
    <w:next w:val="Tekstpodstawowy"/>
    <w:link w:val="ParagrafZnakZnak"/>
    <w:rsid w:val="00346812"/>
    <w:pPr>
      <w:keepNext/>
      <w:spacing w:before="240" w:after="12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aragrafZnakZnak">
    <w:name w:val="Paragraf Znak Znak"/>
    <w:link w:val="Paragraf"/>
    <w:locked/>
    <w:rsid w:val="00346812"/>
    <w:rPr>
      <w:rFonts w:ascii="Times New Roman" w:hAnsi="Times New Roman"/>
      <w:b/>
      <w:sz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68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6812"/>
    <w:rPr>
      <w:rFonts w:cs="Times New Roman"/>
    </w:rPr>
  </w:style>
  <w:style w:type="paragraph" w:styleId="Akapitzlist">
    <w:name w:val="List Paragraph"/>
    <w:basedOn w:val="Normalny"/>
    <w:uiPriority w:val="34"/>
    <w:qFormat/>
    <w:rsid w:val="00A8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1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14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6144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F5E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3DA"/>
    <w:rPr>
      <w:rFonts w:cs="Times New Roman"/>
      <w:color w:val="605E5C"/>
      <w:shd w:val="clear" w:color="auto" w:fill="E1DFDD"/>
    </w:rPr>
  </w:style>
  <w:style w:type="paragraph" w:customStyle="1" w:styleId="Domylnie">
    <w:name w:val="Domyślnie"/>
    <w:rsid w:val="0027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miedz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miedz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3599-8BE9-4D44-A665-87F18980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Janczur</dc:creator>
  <cp:keywords/>
  <dc:description/>
  <cp:lastModifiedBy>MGAUD</cp:lastModifiedBy>
  <cp:revision>6</cp:revision>
  <dcterms:created xsi:type="dcterms:W3CDTF">2019-05-31T07:10:00Z</dcterms:created>
  <dcterms:modified xsi:type="dcterms:W3CDTF">2019-05-31T08:32:00Z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BANK\artur.janczur;Artur Janczur</vt:lpwstr>
  </property>
  <property fmtid="{D5CDD505-2E9C-101B-9397-08002B2CF9AE}" pid="4" name="BPSClassificationDate">
    <vt:lpwstr>2018-07-13T15:04:37.9778171+02:00</vt:lpwstr>
  </property>
</Properties>
</file>